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EBA" w:rsidRPr="00AC5EBA" w:rsidRDefault="00AC5EBA" w:rsidP="00AC5EBA">
      <w:pPr>
        <w:widowControl w:val="0"/>
        <w:spacing w:before="360" w:after="120" w:line="240" w:lineRule="auto"/>
        <w:ind w:left="360" w:hanging="360"/>
        <w:jc w:val="center"/>
        <w:rPr>
          <w:rFonts w:ascii="Arial" w:eastAsia="Calibri" w:hAnsi="Arial" w:cs="Arial"/>
          <w:b/>
          <w:szCs w:val="16"/>
          <w:u w:val="single"/>
          <w:lang w:eastAsia="en-US"/>
        </w:rPr>
      </w:pPr>
      <w:r>
        <w:rPr>
          <w:rFonts w:ascii="Arial" w:eastAsia="Calibri" w:hAnsi="Arial" w:cs="Arial"/>
          <w:b/>
          <w:szCs w:val="16"/>
          <w:u w:val="single"/>
          <w:lang w:eastAsia="en-US"/>
        </w:rPr>
        <w:t>Institutional Links</w:t>
      </w:r>
    </w:p>
    <w:p w:rsidR="00AC5EBA" w:rsidRPr="00AC5EBA" w:rsidRDefault="00AC5EBA" w:rsidP="00AC5EBA">
      <w:pPr>
        <w:widowControl w:val="0"/>
        <w:spacing w:before="360" w:after="120" w:line="240" w:lineRule="auto"/>
        <w:ind w:left="360" w:hanging="360"/>
        <w:rPr>
          <w:rFonts w:ascii="Arial" w:eastAsia="Calibri" w:hAnsi="Arial" w:cs="Arial"/>
          <w:b/>
          <w:szCs w:val="16"/>
          <w:lang w:eastAsia="en-US"/>
        </w:rPr>
      </w:pPr>
      <w:r w:rsidRPr="00AC5EBA">
        <w:rPr>
          <w:rFonts w:ascii="Arial" w:eastAsia="Calibri" w:hAnsi="Arial" w:cs="Arial"/>
          <w:b/>
          <w:szCs w:val="16"/>
          <w:lang w:eastAsia="en-US"/>
        </w:rPr>
        <w:t>Background</w:t>
      </w:r>
    </w:p>
    <w:p w:rsidR="00AC5EBA" w:rsidRPr="00AC5EBA" w:rsidRDefault="00AC5EBA" w:rsidP="00AC5EBA">
      <w:pPr>
        <w:widowControl w:val="0"/>
        <w:spacing w:after="120" w:line="240" w:lineRule="auto"/>
        <w:rPr>
          <w:rFonts w:ascii="Arial" w:eastAsia="Calibri" w:hAnsi="Arial" w:cs="Arial"/>
          <w:szCs w:val="16"/>
          <w:lang w:eastAsia="en-US"/>
        </w:rPr>
      </w:pPr>
      <w:r w:rsidRPr="00AC5EBA">
        <w:rPr>
          <w:rFonts w:ascii="Arial" w:eastAsia="Calibri" w:hAnsi="Arial" w:cs="Arial"/>
          <w:szCs w:val="16"/>
          <w:lang w:eastAsia="en-US"/>
        </w:rPr>
        <w:t>Tackling global challenges – such as extreme weather conditions, urbanisation, access to affordable health care, food and energy security and meeting the social and economic needs of a growing and ageing population – requires an integrated research and innovation approach, bringing together communities from different disciplines, sectors and nations in high quality collaborations. The Newton</w:t>
      </w:r>
      <w:r>
        <w:rPr>
          <w:rFonts w:ascii="Arial" w:eastAsia="Calibri" w:hAnsi="Arial" w:cs="Arial"/>
          <w:szCs w:val="16"/>
          <w:lang w:eastAsia="en-US"/>
        </w:rPr>
        <w:t>-</w:t>
      </w:r>
      <w:proofErr w:type="spellStart"/>
      <w:r>
        <w:rPr>
          <w:rFonts w:ascii="Arial" w:eastAsia="Calibri" w:hAnsi="Arial" w:cs="Arial"/>
          <w:szCs w:val="16"/>
          <w:lang w:eastAsia="en-US"/>
        </w:rPr>
        <w:t>Mosharafa</w:t>
      </w:r>
      <w:proofErr w:type="spellEnd"/>
      <w:r w:rsidRPr="00AC5EBA">
        <w:rPr>
          <w:rFonts w:ascii="Arial" w:eastAsia="Calibri" w:hAnsi="Arial" w:cs="Arial"/>
          <w:szCs w:val="16"/>
          <w:lang w:eastAsia="en-US"/>
        </w:rPr>
        <w:t xml:space="preserve"> Fund aims to build UK-</w:t>
      </w:r>
      <w:r>
        <w:rPr>
          <w:rFonts w:ascii="Arial" w:eastAsia="Calibri" w:hAnsi="Arial" w:cs="Arial"/>
          <w:szCs w:val="16"/>
          <w:lang w:eastAsia="en-US"/>
        </w:rPr>
        <w:t>Egypt</w:t>
      </w:r>
      <w:r w:rsidRPr="00AC5EBA">
        <w:rPr>
          <w:rFonts w:ascii="Arial" w:eastAsia="Calibri" w:hAnsi="Arial" w:cs="Arial"/>
          <w:szCs w:val="16"/>
          <w:lang w:eastAsia="en-US"/>
        </w:rPr>
        <w:t xml:space="preserve"> research and innovation collaborations centred on these shared research and innovation challenges wh</w:t>
      </w:r>
      <w:r>
        <w:rPr>
          <w:rFonts w:ascii="Arial" w:eastAsia="Calibri" w:hAnsi="Arial" w:cs="Arial"/>
          <w:szCs w:val="16"/>
          <w:lang w:eastAsia="en-US"/>
        </w:rPr>
        <w:t>ich have direct relevance to Egypt</w:t>
      </w:r>
      <w:r w:rsidRPr="00AC5EBA">
        <w:rPr>
          <w:rFonts w:ascii="Arial" w:eastAsia="Calibri" w:hAnsi="Arial" w:cs="Arial"/>
          <w:szCs w:val="16"/>
          <w:lang w:eastAsia="en-US"/>
        </w:rPr>
        <w:t>’s social welfare and economic development.</w:t>
      </w:r>
    </w:p>
    <w:p w:rsidR="00AC5EBA" w:rsidRPr="00AC5EBA" w:rsidRDefault="00AC5EBA" w:rsidP="00AC5EBA">
      <w:pPr>
        <w:widowControl w:val="0"/>
        <w:spacing w:after="120" w:line="240" w:lineRule="auto"/>
        <w:rPr>
          <w:rFonts w:ascii="Arial" w:eastAsia="Calibri" w:hAnsi="Arial" w:cs="Arial"/>
          <w:szCs w:val="16"/>
          <w:lang w:eastAsia="en-US"/>
        </w:rPr>
      </w:pPr>
      <w:r w:rsidRPr="00AC5EBA">
        <w:rPr>
          <w:rFonts w:ascii="Arial" w:eastAsia="Calibri" w:hAnsi="Arial" w:cs="Arial"/>
          <w:szCs w:val="16"/>
          <w:lang w:eastAsia="en-US"/>
        </w:rPr>
        <w:t>The Newton Institutional Links Programme is designed to establish links beyond the level of the individual researcher and innovation practitioner, opening up opportunities for more sustainable, solution-oriented research and innovation collaborations between academic groups as well as with the private and third sector.</w:t>
      </w:r>
    </w:p>
    <w:p w:rsidR="00AC5EBA" w:rsidRPr="00AC5EBA" w:rsidRDefault="00AC5EBA" w:rsidP="00AC5EBA">
      <w:pPr>
        <w:widowControl w:val="0"/>
        <w:spacing w:before="360" w:after="120" w:line="240" w:lineRule="auto"/>
        <w:ind w:left="360" w:hanging="360"/>
        <w:rPr>
          <w:rFonts w:ascii="Arial" w:eastAsia="Calibri" w:hAnsi="Arial" w:cs="Arial"/>
          <w:b/>
          <w:szCs w:val="16"/>
          <w:lang w:eastAsia="en-US"/>
        </w:rPr>
      </w:pPr>
      <w:r w:rsidRPr="00AC5EBA">
        <w:rPr>
          <w:rFonts w:ascii="Arial" w:eastAsia="Calibri" w:hAnsi="Arial" w:cs="Arial"/>
          <w:b/>
          <w:szCs w:val="16"/>
          <w:lang w:eastAsia="en-US"/>
        </w:rPr>
        <w:t>Overview of the funding opportunity</w:t>
      </w:r>
    </w:p>
    <w:p w:rsidR="00AC5EBA" w:rsidRPr="00AC5EBA" w:rsidRDefault="00AC5EBA" w:rsidP="00AC5EBA">
      <w:pPr>
        <w:widowControl w:val="0"/>
        <w:spacing w:after="120" w:line="240" w:lineRule="auto"/>
        <w:rPr>
          <w:rFonts w:ascii="Arial" w:eastAsia="Calibri" w:hAnsi="Arial" w:cs="Arial"/>
          <w:szCs w:val="16"/>
          <w:lang w:eastAsia="en-US"/>
        </w:rPr>
      </w:pPr>
      <w:r w:rsidRPr="00AC5EBA">
        <w:rPr>
          <w:rFonts w:ascii="Arial" w:eastAsia="Calibri" w:hAnsi="Arial" w:cs="Arial"/>
          <w:szCs w:val="16"/>
          <w:lang w:eastAsia="en-US"/>
        </w:rPr>
        <w:t>Newton Institutional Links grants are intended to provide small-scale seed funding to:</w:t>
      </w:r>
    </w:p>
    <w:p w:rsidR="00AC5EBA" w:rsidRPr="00AC5EBA" w:rsidRDefault="00AC5EBA" w:rsidP="00AC5EBA">
      <w:pPr>
        <w:widowControl w:val="0"/>
        <w:numPr>
          <w:ilvl w:val="0"/>
          <w:numId w:val="3"/>
        </w:numPr>
        <w:spacing w:after="120" w:line="240" w:lineRule="auto"/>
        <w:ind w:left="714" w:hanging="357"/>
        <w:rPr>
          <w:rFonts w:ascii="Arial" w:eastAsia="Calibri" w:hAnsi="Arial" w:cs="Arial"/>
          <w:szCs w:val="16"/>
          <w:lang w:eastAsia="en-US"/>
        </w:rPr>
      </w:pPr>
      <w:r w:rsidRPr="00AC5EBA">
        <w:rPr>
          <w:rFonts w:ascii="Arial" w:eastAsia="Calibri" w:hAnsi="Arial" w:cs="Arial"/>
          <w:szCs w:val="16"/>
          <w:lang w:eastAsia="en-US"/>
        </w:rPr>
        <w:t xml:space="preserve">Initiate new research and innovation collaborations between academic groups, departments and institutions in </w:t>
      </w:r>
      <w:r>
        <w:rPr>
          <w:rFonts w:ascii="Arial" w:eastAsia="Calibri" w:hAnsi="Arial" w:cs="Arial"/>
          <w:szCs w:val="16"/>
          <w:lang w:eastAsia="en-US"/>
        </w:rPr>
        <w:t>Egypt</w:t>
      </w:r>
      <w:r w:rsidRPr="00AC5EBA">
        <w:rPr>
          <w:rFonts w:ascii="Arial" w:eastAsia="Calibri" w:hAnsi="Arial" w:cs="Arial"/>
          <w:szCs w:val="16"/>
          <w:lang w:eastAsia="en-US"/>
        </w:rPr>
        <w:t xml:space="preserve"> and the UK</w:t>
      </w:r>
    </w:p>
    <w:p w:rsidR="00AC5EBA" w:rsidRPr="00AC5EBA" w:rsidRDefault="00AC5EBA" w:rsidP="00AC5EBA">
      <w:pPr>
        <w:widowControl w:val="0"/>
        <w:numPr>
          <w:ilvl w:val="0"/>
          <w:numId w:val="3"/>
        </w:numPr>
        <w:spacing w:after="120" w:line="240" w:lineRule="auto"/>
        <w:ind w:left="714" w:hanging="357"/>
        <w:rPr>
          <w:rFonts w:ascii="Arial" w:eastAsia="Calibri" w:hAnsi="Arial" w:cs="Arial"/>
          <w:szCs w:val="16"/>
          <w:lang w:eastAsia="en-US"/>
        </w:rPr>
      </w:pPr>
      <w:r w:rsidRPr="00AC5EBA">
        <w:rPr>
          <w:rFonts w:ascii="Arial" w:eastAsia="Calibri" w:hAnsi="Arial" w:cs="Arial"/>
          <w:szCs w:val="16"/>
          <w:lang w:eastAsia="en-US"/>
        </w:rPr>
        <w:t>Develop existing collaborations at group, departmental and institutional level</w:t>
      </w:r>
    </w:p>
    <w:p w:rsidR="00AC5EBA" w:rsidRPr="00AC5EBA" w:rsidRDefault="00AC5EBA" w:rsidP="00AC5EBA">
      <w:pPr>
        <w:widowControl w:val="0"/>
        <w:numPr>
          <w:ilvl w:val="0"/>
          <w:numId w:val="3"/>
        </w:numPr>
        <w:spacing w:after="120" w:line="240" w:lineRule="auto"/>
        <w:ind w:left="714" w:hanging="357"/>
        <w:rPr>
          <w:rFonts w:ascii="Arial" w:eastAsia="Calibri" w:hAnsi="Arial" w:cs="Arial"/>
          <w:szCs w:val="16"/>
          <w:lang w:eastAsia="en-US"/>
        </w:rPr>
      </w:pPr>
      <w:r w:rsidRPr="00AC5EBA">
        <w:rPr>
          <w:rFonts w:ascii="Arial" w:eastAsia="Calibri" w:hAnsi="Arial" w:cs="Arial"/>
          <w:szCs w:val="16"/>
          <w:lang w:eastAsia="en-US"/>
        </w:rPr>
        <w:t>Encourage these collaborations to work with non-academic organisations and individuals to support the exchange of research and innovation expertise and the translation of research knowledge into tangible benefits</w:t>
      </w:r>
    </w:p>
    <w:p w:rsidR="00AC5EBA" w:rsidRPr="00AC5EBA" w:rsidRDefault="00AC5EBA" w:rsidP="00AC5EBA">
      <w:pPr>
        <w:widowControl w:val="0"/>
        <w:numPr>
          <w:ilvl w:val="0"/>
          <w:numId w:val="3"/>
        </w:numPr>
        <w:spacing w:after="120" w:line="240" w:lineRule="auto"/>
        <w:rPr>
          <w:rFonts w:ascii="Arial" w:eastAsia="Calibri" w:hAnsi="Arial" w:cs="Arial"/>
          <w:szCs w:val="16"/>
          <w:lang w:eastAsia="en-US"/>
        </w:rPr>
      </w:pPr>
      <w:r w:rsidRPr="00AC5EBA">
        <w:rPr>
          <w:rFonts w:ascii="Arial" w:eastAsia="Calibri" w:hAnsi="Arial" w:cs="Arial"/>
          <w:szCs w:val="16"/>
          <w:lang w:eastAsia="en-US"/>
        </w:rPr>
        <w:t>Establish local hubs for UK-</w:t>
      </w:r>
      <w:r>
        <w:rPr>
          <w:rFonts w:ascii="Arial" w:eastAsia="Calibri" w:hAnsi="Arial" w:cs="Arial"/>
          <w:szCs w:val="16"/>
          <w:lang w:eastAsia="en-US"/>
        </w:rPr>
        <w:t>Egypt</w:t>
      </w:r>
      <w:r w:rsidRPr="00AC5EBA">
        <w:rPr>
          <w:rFonts w:ascii="Arial" w:eastAsia="Calibri" w:hAnsi="Arial" w:cs="Arial"/>
          <w:szCs w:val="16"/>
          <w:lang w:eastAsia="en-US"/>
        </w:rPr>
        <w:t xml:space="preserve"> activity in a particular area, enabling engagement from the wider research and innovation community.</w:t>
      </w:r>
    </w:p>
    <w:p w:rsidR="00AC5EBA" w:rsidRPr="00AC5EBA" w:rsidRDefault="00AC5EBA" w:rsidP="00AC5EBA">
      <w:pPr>
        <w:widowControl w:val="0"/>
        <w:spacing w:after="120" w:line="240" w:lineRule="auto"/>
        <w:rPr>
          <w:rFonts w:ascii="Arial" w:eastAsia="Calibri" w:hAnsi="Arial" w:cs="Arial"/>
          <w:szCs w:val="16"/>
          <w:lang w:eastAsia="en-US"/>
        </w:rPr>
      </w:pPr>
      <w:r w:rsidRPr="00AC5EBA">
        <w:rPr>
          <w:rFonts w:ascii="Arial" w:eastAsia="Calibri" w:hAnsi="Arial" w:cs="Arial"/>
          <w:szCs w:val="16"/>
          <w:lang w:eastAsia="en-US"/>
        </w:rPr>
        <w:t>The Institutional Links Programme is designed to be flexible and responsive to in-country needs, allowing applicants to establish collaborations on specific areas that are linked to country priorities and development needs, and to bring in relevant private and third sector partners, including small- and medium enterprises (SMEs), non-governmental organisations (NGOs), technology transfer offices and other not-for-profit organisations.</w:t>
      </w:r>
    </w:p>
    <w:p w:rsidR="00AC5EBA" w:rsidRPr="00AC5EBA" w:rsidRDefault="00AC5EBA" w:rsidP="00AC5EBA">
      <w:pPr>
        <w:widowControl w:val="0"/>
        <w:spacing w:after="120" w:line="240" w:lineRule="auto"/>
        <w:rPr>
          <w:rFonts w:ascii="Arial" w:eastAsia="Calibri" w:hAnsi="Arial" w:cs="Arial"/>
          <w:szCs w:val="16"/>
          <w:lang w:eastAsia="en-US"/>
        </w:rPr>
      </w:pPr>
      <w:r w:rsidRPr="00AC5EBA">
        <w:rPr>
          <w:rFonts w:ascii="Arial" w:eastAsia="Calibri" w:hAnsi="Arial" w:cs="Arial"/>
          <w:szCs w:val="16"/>
          <w:lang w:eastAsia="en-US"/>
        </w:rPr>
        <w:t>Grants will typically range from £50,000 to £300,000 over two years</w:t>
      </w:r>
      <w:r>
        <w:rPr>
          <w:rFonts w:ascii="Arial" w:eastAsia="Calibri" w:hAnsi="Arial" w:cs="Arial"/>
          <w:szCs w:val="16"/>
          <w:lang w:eastAsia="en-US"/>
        </w:rPr>
        <w:t>.</w:t>
      </w:r>
    </w:p>
    <w:p w:rsidR="00AC5EBA" w:rsidRPr="00AC5EBA" w:rsidRDefault="00AC5EBA" w:rsidP="00AC5EBA">
      <w:pPr>
        <w:widowControl w:val="0"/>
        <w:spacing w:before="360" w:after="120" w:line="240" w:lineRule="auto"/>
        <w:ind w:left="360" w:hanging="360"/>
        <w:rPr>
          <w:rFonts w:ascii="Arial" w:eastAsia="Calibri" w:hAnsi="Arial" w:cs="Arial"/>
          <w:b/>
          <w:szCs w:val="16"/>
          <w:lang w:eastAsia="en-US"/>
        </w:rPr>
      </w:pPr>
      <w:r w:rsidRPr="00AC5EBA">
        <w:rPr>
          <w:rFonts w:ascii="Arial" w:eastAsia="Calibri" w:hAnsi="Arial" w:cs="Arial"/>
          <w:b/>
          <w:szCs w:val="16"/>
          <w:lang w:eastAsia="en-US"/>
        </w:rPr>
        <w:t>Scope of the Programme</w:t>
      </w:r>
    </w:p>
    <w:p w:rsidR="00AC5EBA" w:rsidRPr="00AC5EBA" w:rsidRDefault="00AC5EBA" w:rsidP="00AC5EBA">
      <w:pPr>
        <w:widowControl w:val="0"/>
        <w:spacing w:after="120" w:line="240" w:lineRule="auto"/>
        <w:rPr>
          <w:rFonts w:ascii="Arial" w:eastAsia="Calibri" w:hAnsi="Arial" w:cs="Arial"/>
          <w:szCs w:val="16"/>
          <w:lang w:eastAsia="en-US"/>
        </w:rPr>
      </w:pPr>
      <w:r w:rsidRPr="00AC5EBA">
        <w:rPr>
          <w:rFonts w:ascii="Arial" w:eastAsia="Calibri" w:hAnsi="Arial" w:cs="Arial"/>
          <w:szCs w:val="16"/>
          <w:lang w:eastAsia="en-US"/>
        </w:rPr>
        <w:t xml:space="preserve">The primary aim of the Newton Institutional Links Programme is to enable the establishment and development of research and innovation collaborations between the UK and </w:t>
      </w:r>
      <w:r>
        <w:rPr>
          <w:rFonts w:ascii="Arial" w:eastAsia="Calibri" w:hAnsi="Arial" w:cs="Arial"/>
          <w:szCs w:val="16"/>
          <w:lang w:eastAsia="en-US"/>
        </w:rPr>
        <w:t>Egyptian</w:t>
      </w:r>
      <w:r w:rsidRPr="00AC5EBA">
        <w:rPr>
          <w:rFonts w:ascii="Arial" w:eastAsia="Calibri" w:hAnsi="Arial" w:cs="Arial"/>
          <w:szCs w:val="16"/>
          <w:lang w:eastAsia="en-US"/>
        </w:rPr>
        <w:t xml:space="preserve"> institutions at the group, departmental or institutional level as well as the commercial and not-for-profit sector. Grants under this Programme will allow partners to gain experience in collaborating internationally and get access to facilities, knowledge and expertise, which will enhance the quality of their research and enable them to translate research and innovation into societal and economic benefit.</w:t>
      </w:r>
    </w:p>
    <w:p w:rsidR="00AC5EBA" w:rsidRPr="00AC5EBA" w:rsidRDefault="00AC5EBA" w:rsidP="00AC5EBA">
      <w:pPr>
        <w:widowControl w:val="0"/>
        <w:spacing w:after="120" w:line="240" w:lineRule="auto"/>
        <w:rPr>
          <w:rFonts w:ascii="Arial" w:eastAsia="Calibri" w:hAnsi="Arial" w:cs="Arial"/>
          <w:szCs w:val="16"/>
          <w:lang w:eastAsia="en-US"/>
        </w:rPr>
      </w:pPr>
      <w:r w:rsidRPr="00AC5EBA">
        <w:rPr>
          <w:rFonts w:ascii="Arial" w:eastAsia="Calibri" w:hAnsi="Arial" w:cs="Arial"/>
          <w:szCs w:val="16"/>
          <w:lang w:eastAsia="en-US"/>
        </w:rPr>
        <w:t>All research and innovation collaborations funded through this Programme will:</w:t>
      </w:r>
    </w:p>
    <w:p w:rsidR="00AC5EBA" w:rsidRPr="00AC5EBA" w:rsidRDefault="00AC5EBA" w:rsidP="00AC5EBA">
      <w:pPr>
        <w:widowControl w:val="0"/>
        <w:numPr>
          <w:ilvl w:val="0"/>
          <w:numId w:val="7"/>
        </w:numPr>
        <w:tabs>
          <w:tab w:val="left" w:pos="840"/>
        </w:tabs>
        <w:spacing w:after="120" w:line="240" w:lineRule="auto"/>
        <w:rPr>
          <w:rFonts w:ascii="Arial" w:eastAsia="Calibri" w:hAnsi="Arial" w:cs="Arial"/>
          <w:szCs w:val="16"/>
          <w:lang w:eastAsia="en-US"/>
        </w:rPr>
      </w:pPr>
      <w:r w:rsidRPr="00AC5EBA">
        <w:rPr>
          <w:rFonts w:ascii="Arial" w:eastAsia="Arial" w:hAnsi="Arial" w:cs="Arial"/>
          <w:b/>
          <w:spacing w:val="1"/>
          <w:lang w:eastAsia="en-US"/>
        </w:rPr>
        <w:t xml:space="preserve">Establish new research and innovation links, or significantly develop existing links, between research groups, departments or institutions with the potential for longer term sustainability. </w:t>
      </w:r>
      <w:r w:rsidRPr="00AC5EBA">
        <w:rPr>
          <w:rFonts w:ascii="Arial" w:eastAsia="Arial" w:hAnsi="Arial" w:cs="Arial"/>
          <w:spacing w:val="1"/>
          <w:lang w:eastAsia="en-US"/>
        </w:rPr>
        <w:t>A key</w:t>
      </w:r>
      <w:r w:rsidRPr="00AC5EBA">
        <w:rPr>
          <w:rFonts w:ascii="Arial" w:eastAsia="Calibri" w:hAnsi="Arial" w:cs="Arial"/>
          <w:lang w:eastAsia="en-US"/>
        </w:rPr>
        <w:t xml:space="preserve"> aim of the collaboration will be to support research and innovation capacity building in the partner institution, as well as to stimulate longer term links between the UK and </w:t>
      </w:r>
      <w:r>
        <w:rPr>
          <w:rFonts w:ascii="Arial" w:eastAsia="Calibri" w:hAnsi="Arial" w:cs="Arial"/>
          <w:lang w:eastAsia="en-US"/>
        </w:rPr>
        <w:t>Egypt</w:t>
      </w:r>
      <w:r w:rsidRPr="00AC5EBA">
        <w:rPr>
          <w:rFonts w:ascii="Arial" w:eastAsia="Calibri" w:hAnsi="Arial" w:cs="Arial"/>
          <w:lang w:eastAsia="en-US"/>
        </w:rPr>
        <w:t xml:space="preserve"> for research and innovation.</w:t>
      </w:r>
    </w:p>
    <w:p w:rsidR="00AC5EBA" w:rsidRPr="00AC5EBA" w:rsidRDefault="00AC5EBA" w:rsidP="00AC5EBA">
      <w:pPr>
        <w:widowControl w:val="0"/>
        <w:numPr>
          <w:ilvl w:val="0"/>
          <w:numId w:val="6"/>
        </w:numPr>
        <w:spacing w:after="120" w:line="240" w:lineRule="auto"/>
        <w:ind w:left="714" w:hanging="357"/>
        <w:rPr>
          <w:rFonts w:ascii="Arial" w:eastAsia="Calibri" w:hAnsi="Arial" w:cs="Arial"/>
          <w:szCs w:val="16"/>
          <w:lang w:eastAsia="en-US"/>
        </w:rPr>
      </w:pPr>
      <w:r w:rsidRPr="00AC5EBA">
        <w:rPr>
          <w:rFonts w:ascii="Arial" w:eastAsia="Calibri" w:hAnsi="Arial" w:cs="Arial"/>
          <w:b/>
          <w:szCs w:val="16"/>
          <w:lang w:eastAsia="en-US"/>
        </w:rPr>
        <w:lastRenderedPageBreak/>
        <w:t xml:space="preserve">Benefit the wider research and innovation community with the potential to increase its </w:t>
      </w:r>
      <w:r w:rsidRPr="00AC5EBA">
        <w:rPr>
          <w:rFonts w:ascii="Arial" w:eastAsia="Calibri" w:hAnsi="Arial" w:cs="Arial"/>
          <w:b/>
          <w:lang w:eastAsia="en-US"/>
        </w:rPr>
        <w:t>capacity to translate research into economic or societal benefit.</w:t>
      </w:r>
      <w:r w:rsidRPr="00AC5EBA">
        <w:rPr>
          <w:rFonts w:ascii="Arial" w:eastAsia="Calibri" w:hAnsi="Arial" w:cs="Arial"/>
          <w:lang w:eastAsia="en-US"/>
        </w:rPr>
        <w:t xml:space="preserve"> Applicants should indicate how they envisage this occurring.</w:t>
      </w:r>
    </w:p>
    <w:p w:rsidR="00AC5EBA" w:rsidRPr="00AC5EBA" w:rsidRDefault="00AC5EBA" w:rsidP="002E240C">
      <w:pPr>
        <w:widowControl w:val="0"/>
        <w:numPr>
          <w:ilvl w:val="0"/>
          <w:numId w:val="6"/>
        </w:numPr>
        <w:spacing w:after="120" w:line="240" w:lineRule="auto"/>
        <w:ind w:left="714" w:hanging="357"/>
        <w:rPr>
          <w:rFonts w:ascii="Arial" w:eastAsia="Arial" w:hAnsi="Arial" w:cs="Arial"/>
          <w:b/>
          <w:spacing w:val="1"/>
          <w:lang w:eastAsia="en-US"/>
        </w:rPr>
      </w:pPr>
      <w:r w:rsidRPr="00AC5EBA">
        <w:rPr>
          <w:rFonts w:ascii="Arial" w:eastAsia="Arial" w:hAnsi="Arial" w:cs="Arial"/>
          <w:b/>
          <w:spacing w:val="1"/>
          <w:lang w:eastAsia="en-US"/>
        </w:rPr>
        <w:t>F</w:t>
      </w:r>
      <w:r w:rsidRPr="00AC5EBA">
        <w:rPr>
          <w:rFonts w:ascii="Arial" w:eastAsia="Calibri" w:hAnsi="Arial" w:cs="Arial"/>
          <w:b/>
          <w:szCs w:val="16"/>
          <w:lang w:eastAsia="en-US"/>
        </w:rPr>
        <w:t xml:space="preserve">ocus on topics or themes which have relevance to the economic and social development of </w:t>
      </w:r>
      <w:r>
        <w:rPr>
          <w:rFonts w:ascii="Arial" w:eastAsia="Calibri" w:hAnsi="Arial" w:cs="Arial"/>
          <w:b/>
          <w:szCs w:val="16"/>
          <w:lang w:eastAsia="en-US"/>
        </w:rPr>
        <w:t>Egypt</w:t>
      </w:r>
      <w:r w:rsidRPr="00AC5EBA">
        <w:rPr>
          <w:rFonts w:ascii="Arial" w:eastAsia="Calibri" w:hAnsi="Arial" w:cs="Arial"/>
          <w:b/>
          <w:szCs w:val="16"/>
          <w:lang w:eastAsia="en-US"/>
        </w:rPr>
        <w:t>.</w:t>
      </w:r>
      <w:r w:rsidRPr="00AC5EBA">
        <w:rPr>
          <w:rFonts w:ascii="Arial" w:eastAsia="Arial" w:hAnsi="Arial" w:cs="Arial"/>
          <w:spacing w:val="1"/>
          <w:lang w:eastAsia="en-US"/>
        </w:rPr>
        <w:t xml:space="preserve"> </w:t>
      </w:r>
      <w:r w:rsidRPr="00AC5EBA">
        <w:rPr>
          <w:rFonts w:ascii="Arial" w:eastAsia="Calibri" w:hAnsi="Arial" w:cs="Arial"/>
          <w:bCs/>
          <w:lang w:eastAsia="en-US"/>
        </w:rPr>
        <w:t xml:space="preserve">Institutional Links grants are intended to support areas relevant to the economic development and social welfare of </w:t>
      </w:r>
      <w:r w:rsidR="002E240C">
        <w:rPr>
          <w:rFonts w:ascii="Arial" w:eastAsia="Calibri" w:hAnsi="Arial" w:cs="Arial"/>
          <w:bCs/>
          <w:lang w:eastAsia="en-US"/>
        </w:rPr>
        <w:t>Egypt</w:t>
      </w:r>
      <w:r w:rsidRPr="00AC5EBA">
        <w:rPr>
          <w:rFonts w:ascii="Arial" w:eastAsia="Calibri" w:hAnsi="Arial" w:cs="Arial"/>
          <w:bCs/>
          <w:lang w:eastAsia="en-US"/>
        </w:rPr>
        <w:t xml:space="preserve">. </w:t>
      </w:r>
    </w:p>
    <w:p w:rsidR="00AC5EBA" w:rsidRPr="00AC5EBA" w:rsidRDefault="00AC5EBA" w:rsidP="00AC5EBA">
      <w:pPr>
        <w:widowControl w:val="0"/>
        <w:spacing w:after="120" w:line="240" w:lineRule="auto"/>
        <w:rPr>
          <w:rFonts w:ascii="Arial" w:eastAsia="Calibri" w:hAnsi="Arial" w:cs="Arial"/>
          <w:szCs w:val="16"/>
          <w:lang w:eastAsia="en-US"/>
        </w:rPr>
      </w:pPr>
      <w:r w:rsidRPr="00AC5EBA">
        <w:rPr>
          <w:rFonts w:ascii="Arial" w:eastAsia="Calibri" w:hAnsi="Arial" w:cs="Arial"/>
          <w:szCs w:val="16"/>
          <w:lang w:eastAsia="en-US"/>
        </w:rPr>
        <w:t>Institutional Links grants can cover costs which support research and innovation collaboration, including research-related costs; the exchange between partners of researchers, students and industry staff (including SMEs and not-for-profit organisations); the costs of organising meetings, seminars, training; and other activities to establish and strengthen collaborative links.</w:t>
      </w:r>
    </w:p>
    <w:p w:rsidR="00AC5EBA" w:rsidRPr="00AC5EBA" w:rsidRDefault="00AC5EBA" w:rsidP="002E240C">
      <w:pPr>
        <w:widowControl w:val="0"/>
        <w:spacing w:after="120" w:line="240" w:lineRule="auto"/>
        <w:rPr>
          <w:rFonts w:ascii="Arial" w:eastAsia="Calibri" w:hAnsi="Arial" w:cs="Arial"/>
          <w:szCs w:val="16"/>
          <w:lang w:eastAsia="en-US"/>
        </w:rPr>
      </w:pPr>
      <w:r w:rsidRPr="00AC5EBA">
        <w:rPr>
          <w:rFonts w:ascii="Arial" w:eastAsia="Calibri" w:hAnsi="Arial" w:cs="Arial"/>
          <w:szCs w:val="16"/>
          <w:lang w:eastAsia="en-US"/>
        </w:rPr>
        <w:t>Institutional Links-funded collaborations may also be established as UK-</w:t>
      </w:r>
      <w:r>
        <w:rPr>
          <w:rFonts w:ascii="Arial" w:eastAsia="Calibri" w:hAnsi="Arial" w:cs="Arial"/>
          <w:szCs w:val="16"/>
          <w:lang w:eastAsia="en-US"/>
        </w:rPr>
        <w:t>Egypt</w:t>
      </w:r>
      <w:r w:rsidRPr="00AC5EBA">
        <w:rPr>
          <w:rFonts w:ascii="Arial" w:eastAsia="Calibri" w:hAnsi="Arial" w:cs="Arial"/>
          <w:szCs w:val="16"/>
          <w:lang w:eastAsia="en-US"/>
        </w:rPr>
        <w:t xml:space="preserve"> centres of excellence – based in </w:t>
      </w:r>
      <w:r w:rsidR="002E240C">
        <w:rPr>
          <w:rFonts w:ascii="Arial" w:eastAsia="Calibri" w:hAnsi="Arial" w:cs="Arial"/>
          <w:szCs w:val="16"/>
          <w:lang w:eastAsia="en-US"/>
        </w:rPr>
        <w:t>Egypt</w:t>
      </w:r>
      <w:r w:rsidRPr="00AC5EBA">
        <w:rPr>
          <w:rFonts w:ascii="Arial" w:eastAsia="Calibri" w:hAnsi="Arial" w:cs="Arial"/>
          <w:szCs w:val="16"/>
          <w:lang w:eastAsia="en-US"/>
        </w:rPr>
        <w:t xml:space="preserve"> – in a particular research area, acting as a resource hub for the wider research community in-country and a focal point for other activities (e.g. seminars, technical training workshops).</w:t>
      </w:r>
    </w:p>
    <w:p w:rsidR="00AC5EBA" w:rsidRPr="00AC5EBA" w:rsidRDefault="00AC5EBA" w:rsidP="00AC5EBA">
      <w:pPr>
        <w:widowControl w:val="0"/>
        <w:spacing w:after="240" w:line="240" w:lineRule="auto"/>
        <w:rPr>
          <w:rFonts w:ascii="Arial" w:eastAsia="Arial" w:hAnsi="Arial" w:cs="Arial"/>
          <w:b/>
          <w:spacing w:val="1"/>
          <w:lang w:eastAsia="en-US"/>
        </w:rPr>
      </w:pPr>
      <w:r w:rsidRPr="00AC5EBA">
        <w:rPr>
          <w:rFonts w:ascii="Arial" w:eastAsia="Calibri" w:hAnsi="Arial" w:cs="Arial"/>
          <w:szCs w:val="16"/>
          <w:lang w:eastAsia="en-US"/>
        </w:rPr>
        <w:t>Grants can also include support for training technical staff, and a limited amount of funding for the purchase of equipment and consumables, or financing of other activity necessary for the translation of the research into benefit, thereby laying the foundations for longer term impact on the research and innovation landscape. All expenditure must be detailed in the budget request and a justification of costs included.</w:t>
      </w:r>
    </w:p>
    <w:p w:rsidR="00AC5EBA" w:rsidRDefault="00AC5EBA" w:rsidP="00AC5EBA">
      <w:pPr>
        <w:widowControl w:val="0"/>
        <w:spacing w:before="360" w:after="120" w:line="240" w:lineRule="auto"/>
        <w:ind w:left="360" w:hanging="360"/>
        <w:rPr>
          <w:rFonts w:ascii="Arial" w:eastAsia="Calibri" w:hAnsi="Arial" w:cs="Arial"/>
          <w:b/>
          <w:szCs w:val="16"/>
          <w:lang w:eastAsia="en-US"/>
        </w:rPr>
      </w:pPr>
      <w:r w:rsidRPr="00AC5EBA">
        <w:rPr>
          <w:rFonts w:ascii="Arial" w:eastAsia="Calibri" w:hAnsi="Arial" w:cs="Arial"/>
          <w:b/>
          <w:szCs w:val="16"/>
          <w:lang w:eastAsia="en-US"/>
        </w:rPr>
        <w:t>Funding available</w:t>
      </w:r>
    </w:p>
    <w:p w:rsidR="00D129C6" w:rsidRPr="00AC5EBA" w:rsidRDefault="00D129C6" w:rsidP="00AC5EBA">
      <w:pPr>
        <w:widowControl w:val="0"/>
        <w:spacing w:before="360" w:after="120" w:line="240" w:lineRule="auto"/>
        <w:ind w:left="360" w:hanging="360"/>
        <w:rPr>
          <w:rFonts w:ascii="Arial" w:eastAsia="Calibri" w:hAnsi="Arial" w:cs="Arial"/>
          <w:b/>
          <w:szCs w:val="16"/>
          <w:lang w:eastAsia="en-US"/>
        </w:rPr>
      </w:pPr>
      <w:r>
        <w:rPr>
          <w:rFonts w:ascii="Arial" w:eastAsia="Calibri" w:hAnsi="Arial" w:cs="Arial"/>
          <w:b/>
          <w:szCs w:val="16"/>
          <w:lang w:eastAsia="en-US"/>
        </w:rPr>
        <w:t>A new guide lines have been published on two sets of budgets one based on Egyptian side and on</w:t>
      </w:r>
      <w:r w:rsidR="00B60E0F">
        <w:rPr>
          <w:rFonts w:ascii="Arial" w:eastAsia="Calibri" w:hAnsi="Arial" w:cs="Arial"/>
          <w:b/>
          <w:szCs w:val="16"/>
          <w:lang w:eastAsia="en-US"/>
        </w:rPr>
        <w:t>e on</w:t>
      </w:r>
      <w:r>
        <w:rPr>
          <w:rFonts w:ascii="Arial" w:eastAsia="Calibri" w:hAnsi="Arial" w:cs="Arial"/>
          <w:b/>
          <w:szCs w:val="16"/>
          <w:lang w:eastAsia="en-US"/>
        </w:rPr>
        <w:t xml:space="preserve"> the UK side </w:t>
      </w:r>
    </w:p>
    <w:p w:rsidR="00AC5EBA" w:rsidRDefault="00AC5EBA" w:rsidP="00AC5EBA">
      <w:pPr>
        <w:widowControl w:val="0"/>
        <w:spacing w:after="120" w:line="240" w:lineRule="auto"/>
        <w:rPr>
          <w:rFonts w:ascii="Arial" w:eastAsia="Calibri" w:hAnsi="Arial" w:cs="Arial"/>
          <w:szCs w:val="16"/>
          <w:lang w:eastAsia="en-US"/>
        </w:rPr>
      </w:pPr>
      <w:r w:rsidRPr="00AC5EBA">
        <w:rPr>
          <w:rFonts w:ascii="Arial" w:eastAsia="Calibri" w:hAnsi="Arial" w:cs="Arial"/>
          <w:szCs w:val="16"/>
          <w:lang w:eastAsia="en-US"/>
        </w:rPr>
        <w:t xml:space="preserve">Applicants may submit proposals requesting funding between £50,000 and £300,000. </w:t>
      </w:r>
    </w:p>
    <w:p w:rsidR="00AC5EBA" w:rsidRPr="00AC5EBA" w:rsidRDefault="00AC5EBA" w:rsidP="00AC5EBA">
      <w:pPr>
        <w:widowControl w:val="0"/>
        <w:spacing w:after="120" w:line="240" w:lineRule="auto"/>
        <w:rPr>
          <w:rFonts w:ascii="Arial" w:eastAsia="Calibri" w:hAnsi="Arial" w:cs="Arial"/>
          <w:szCs w:val="16"/>
          <w:lang w:eastAsia="en-US"/>
        </w:rPr>
      </w:pPr>
      <w:r w:rsidRPr="00AC5EBA">
        <w:rPr>
          <w:rFonts w:ascii="Arial" w:eastAsia="Calibri" w:hAnsi="Arial" w:cs="Arial"/>
          <w:szCs w:val="16"/>
          <w:lang w:eastAsia="en-US"/>
        </w:rPr>
        <w:t>Institutional Links grants are intended to support the direct costs of establishing and operating your collaboration (i.e. costs directly related to implementing activities contained in the proposal). The following section details the costs that can and cannot be included in your budget request.</w:t>
      </w:r>
    </w:p>
    <w:p w:rsidR="00AC5EBA" w:rsidRDefault="00AC5EBA" w:rsidP="00AC5EBA">
      <w:pPr>
        <w:widowControl w:val="0"/>
        <w:spacing w:after="120" w:line="240" w:lineRule="auto"/>
        <w:rPr>
          <w:rFonts w:ascii="Arial" w:eastAsia="Calibri" w:hAnsi="Arial" w:cs="Arial"/>
          <w:szCs w:val="16"/>
          <w:lang w:eastAsia="en-US"/>
        </w:rPr>
      </w:pPr>
      <w:r w:rsidRPr="00AC5EBA">
        <w:rPr>
          <w:rFonts w:ascii="Arial" w:eastAsia="Calibri" w:hAnsi="Arial" w:cs="Arial"/>
          <w:szCs w:val="16"/>
          <w:lang w:eastAsia="en-US"/>
        </w:rPr>
        <w:t xml:space="preserve">Institutional Links grants </w:t>
      </w:r>
      <w:r w:rsidRPr="00AC5EBA">
        <w:rPr>
          <w:rFonts w:ascii="Arial" w:eastAsia="Calibri" w:hAnsi="Arial" w:cs="Arial"/>
          <w:b/>
          <w:szCs w:val="16"/>
          <w:lang w:eastAsia="en-US"/>
        </w:rPr>
        <w:t>can cover</w:t>
      </w:r>
      <w:r w:rsidRPr="00AC5EBA">
        <w:rPr>
          <w:rFonts w:ascii="Arial" w:eastAsia="Calibri" w:hAnsi="Arial" w:cs="Arial"/>
          <w:szCs w:val="16"/>
          <w:lang w:eastAsia="en-US"/>
        </w:rPr>
        <w:t>:</w:t>
      </w:r>
    </w:p>
    <w:p w:rsidR="008A348D" w:rsidRDefault="008A348D" w:rsidP="008A348D">
      <w:pPr>
        <w:widowControl w:val="0"/>
        <w:numPr>
          <w:ilvl w:val="0"/>
          <w:numId w:val="5"/>
        </w:numPr>
        <w:autoSpaceDE w:val="0"/>
        <w:autoSpaceDN w:val="0"/>
        <w:adjustRightInd w:val="0"/>
        <w:spacing w:after="120" w:line="240" w:lineRule="auto"/>
        <w:ind w:left="714" w:hanging="357"/>
        <w:rPr>
          <w:rFonts w:ascii="Arial" w:eastAsia="Calibri" w:hAnsi="Arial" w:cs="Arial"/>
          <w:color w:val="000000"/>
          <w:lang w:eastAsia="en-US"/>
        </w:rPr>
      </w:pPr>
      <w:r w:rsidRPr="008A348D">
        <w:rPr>
          <w:rFonts w:ascii="Arial" w:eastAsia="Calibri" w:hAnsi="Arial" w:cs="Arial"/>
          <w:color w:val="000000"/>
          <w:lang w:eastAsia="en-US"/>
        </w:rPr>
        <w:t xml:space="preserve">Human Resources costs </w:t>
      </w:r>
    </w:p>
    <w:p w:rsidR="00686BFD" w:rsidRPr="00686BFD" w:rsidRDefault="00E75E7C" w:rsidP="00686BFD">
      <w:pPr>
        <w:widowControl w:val="0"/>
        <w:numPr>
          <w:ilvl w:val="1"/>
          <w:numId w:val="5"/>
        </w:numPr>
        <w:autoSpaceDE w:val="0"/>
        <w:autoSpaceDN w:val="0"/>
        <w:adjustRightInd w:val="0"/>
        <w:spacing w:after="120" w:line="240" w:lineRule="auto"/>
        <w:rPr>
          <w:rFonts w:ascii="Arial" w:eastAsia="Calibri" w:hAnsi="Arial" w:cs="Arial"/>
          <w:color w:val="000000"/>
          <w:lang w:eastAsia="en-US"/>
        </w:rPr>
      </w:pPr>
      <w:r w:rsidRPr="00686BFD">
        <w:rPr>
          <w:rFonts w:ascii="Arial" w:eastAsia="Calibri" w:hAnsi="Arial" w:cs="Arial"/>
          <w:color w:val="000000"/>
          <w:lang w:eastAsia="en-US"/>
        </w:rPr>
        <w:t xml:space="preserve">Staff costs for personnel working directly on the grant-funded project: salaries and fees of temporary research and research assistant personnel, and other staff employed for the project, for example data collection staff in partner country </w:t>
      </w:r>
      <w:r w:rsidR="00686BFD">
        <w:rPr>
          <w:rFonts w:ascii="Arial" w:eastAsia="Calibri" w:hAnsi="Arial" w:cs="Arial"/>
          <w:color w:val="000000"/>
          <w:lang w:eastAsia="en-US"/>
        </w:rPr>
        <w:t>(</w:t>
      </w:r>
      <w:r w:rsidR="00686BFD" w:rsidRPr="00686BFD">
        <w:rPr>
          <w:rFonts w:ascii="Arial" w:eastAsia="Calibri" w:hAnsi="Arial" w:cs="Arial"/>
          <w:color w:val="000000"/>
          <w:lang w:eastAsia="en-US"/>
        </w:rPr>
        <w:t>See country specific guidance for more details</w:t>
      </w:r>
      <w:r w:rsidR="00686BFD">
        <w:rPr>
          <w:rFonts w:ascii="Arial" w:eastAsia="Calibri" w:hAnsi="Arial" w:cs="Arial"/>
          <w:color w:val="000000"/>
          <w:lang w:eastAsia="en-US"/>
        </w:rPr>
        <w:t>)</w:t>
      </w:r>
      <w:r w:rsidR="00686BFD" w:rsidRPr="00686BFD">
        <w:rPr>
          <w:rFonts w:ascii="Arial" w:eastAsia="Calibri" w:hAnsi="Arial" w:cs="Arial"/>
          <w:color w:val="000000"/>
          <w:lang w:eastAsia="en-US"/>
        </w:rPr>
        <w:t xml:space="preserve"> </w:t>
      </w:r>
    </w:p>
    <w:p w:rsidR="00E75E7C" w:rsidRPr="00686BFD" w:rsidRDefault="00E75E7C" w:rsidP="00686BFD">
      <w:pPr>
        <w:widowControl w:val="0"/>
        <w:numPr>
          <w:ilvl w:val="1"/>
          <w:numId w:val="5"/>
        </w:numPr>
        <w:autoSpaceDE w:val="0"/>
        <w:autoSpaceDN w:val="0"/>
        <w:adjustRightInd w:val="0"/>
        <w:spacing w:after="120" w:line="240" w:lineRule="auto"/>
        <w:rPr>
          <w:rFonts w:ascii="Arial" w:eastAsia="Calibri" w:hAnsi="Arial" w:cs="Arial"/>
          <w:color w:val="000000"/>
          <w:lang w:eastAsia="en-US"/>
        </w:rPr>
      </w:pPr>
      <w:r w:rsidRPr="00686BFD">
        <w:rPr>
          <w:rFonts w:ascii="Arial" w:eastAsia="Calibri" w:hAnsi="Arial" w:cs="Arial"/>
          <w:color w:val="000000"/>
          <w:lang w:eastAsia="en-US"/>
        </w:rPr>
        <w:t xml:space="preserve">Staff costs for permanent staff </w:t>
      </w:r>
      <w:r w:rsidRPr="00686BFD">
        <w:rPr>
          <w:rFonts w:ascii="Arial" w:eastAsia="Calibri" w:hAnsi="Arial" w:cs="Arial"/>
          <w:color w:val="000000"/>
          <w:lang w:eastAsia="en-US"/>
        </w:rPr>
        <w:t>(</w:t>
      </w:r>
      <w:r w:rsidRPr="00686BFD">
        <w:rPr>
          <w:rFonts w:ascii="Arial" w:eastAsia="Calibri" w:hAnsi="Arial" w:cs="Arial"/>
          <w:color w:val="000000"/>
          <w:lang w:eastAsia="en-US"/>
        </w:rPr>
        <w:t xml:space="preserve">Limited to 30% of total human resources costs funded by the grant </w:t>
      </w:r>
    </w:p>
    <w:p w:rsidR="00AC5EBA" w:rsidRDefault="00AC5EBA" w:rsidP="00AC5EBA">
      <w:pPr>
        <w:widowControl w:val="0"/>
        <w:numPr>
          <w:ilvl w:val="0"/>
          <w:numId w:val="5"/>
        </w:numPr>
        <w:autoSpaceDE w:val="0"/>
        <w:autoSpaceDN w:val="0"/>
        <w:adjustRightInd w:val="0"/>
        <w:spacing w:after="120" w:line="240" w:lineRule="auto"/>
        <w:ind w:left="714" w:hanging="357"/>
        <w:rPr>
          <w:rFonts w:ascii="Arial" w:eastAsia="Calibri" w:hAnsi="Arial" w:cs="Arial"/>
          <w:color w:val="000000"/>
          <w:lang w:eastAsia="en-US"/>
        </w:rPr>
      </w:pPr>
      <w:r w:rsidRPr="00AC5EBA">
        <w:rPr>
          <w:rFonts w:ascii="Arial" w:eastAsia="Calibri" w:hAnsi="Arial" w:cs="Arial"/>
          <w:color w:val="000000"/>
          <w:lang w:eastAsia="en-US"/>
        </w:rPr>
        <w:t>Research-related costs:</w:t>
      </w:r>
    </w:p>
    <w:p w:rsidR="00E75E7C" w:rsidRPr="00E75E7C" w:rsidRDefault="00E75E7C" w:rsidP="00E75E7C">
      <w:pPr>
        <w:pStyle w:val="ListParagraph"/>
        <w:autoSpaceDE w:val="0"/>
        <w:autoSpaceDN w:val="0"/>
        <w:adjustRightInd w:val="0"/>
        <w:spacing w:after="120" w:line="240" w:lineRule="auto"/>
        <w:rPr>
          <w:rFonts w:ascii="Arial" w:eastAsia="Calibri" w:hAnsi="Arial" w:cs="Arial"/>
          <w:color w:val="000000"/>
          <w:lang w:eastAsia="en-US"/>
        </w:rPr>
      </w:pPr>
      <w:r w:rsidRPr="00E75E7C">
        <w:rPr>
          <w:rFonts w:ascii="Arial" w:eastAsia="Calibri" w:hAnsi="Arial" w:cs="Arial"/>
          <w:lang w:eastAsia="en-US"/>
        </w:rPr>
        <w:t xml:space="preserve">The maximum proportion </w:t>
      </w:r>
      <w:r w:rsidRPr="00E75E7C">
        <w:rPr>
          <w:rFonts w:ascii="Arial" w:eastAsia="Calibri" w:hAnsi="Arial" w:cs="Arial"/>
          <w:color w:val="000000"/>
          <w:lang w:eastAsia="en-US"/>
        </w:rPr>
        <w:t xml:space="preserve">of the total grant value that can be requested to cover research-related costs is 30%. </w:t>
      </w:r>
    </w:p>
    <w:p w:rsidR="00AC5EBA" w:rsidRPr="00AC5EBA" w:rsidRDefault="00AC5EBA" w:rsidP="00AC5EBA">
      <w:pPr>
        <w:widowControl w:val="0"/>
        <w:numPr>
          <w:ilvl w:val="1"/>
          <w:numId w:val="5"/>
        </w:numPr>
        <w:autoSpaceDE w:val="0"/>
        <w:autoSpaceDN w:val="0"/>
        <w:adjustRightInd w:val="0"/>
        <w:spacing w:after="120" w:line="240" w:lineRule="auto"/>
        <w:rPr>
          <w:rFonts w:ascii="Arial" w:eastAsia="Calibri" w:hAnsi="Arial" w:cs="Arial"/>
          <w:color w:val="000000"/>
          <w:lang w:eastAsia="en-US"/>
        </w:rPr>
      </w:pPr>
      <w:r w:rsidRPr="00AC5EBA">
        <w:rPr>
          <w:rFonts w:ascii="Arial" w:eastAsia="Calibri" w:hAnsi="Arial" w:cs="Arial"/>
          <w:color w:val="000000"/>
          <w:lang w:eastAsia="en-US"/>
        </w:rPr>
        <w:t>Essential scientific equipment</w:t>
      </w:r>
      <w:r w:rsidRPr="00AC5EBA">
        <w:rPr>
          <w:rFonts w:ascii="Arial" w:eastAsia="Calibri" w:hAnsi="Arial" w:cs="Arial"/>
          <w:color w:val="000000"/>
          <w:vertAlign w:val="superscript"/>
          <w:lang w:eastAsia="en-US"/>
        </w:rPr>
        <w:footnoteReference w:id="1"/>
      </w:r>
      <w:r w:rsidRPr="00AC5EBA">
        <w:rPr>
          <w:rFonts w:ascii="Arial" w:eastAsia="Calibri" w:hAnsi="Arial" w:cs="Arial"/>
          <w:color w:val="000000"/>
          <w:lang w:eastAsia="en-US"/>
        </w:rPr>
        <w:t>.</w:t>
      </w:r>
    </w:p>
    <w:p w:rsidR="00AC5EBA" w:rsidRPr="00AC5EBA" w:rsidRDefault="00AC5EBA" w:rsidP="00686BFD">
      <w:pPr>
        <w:widowControl w:val="0"/>
        <w:numPr>
          <w:ilvl w:val="1"/>
          <w:numId w:val="5"/>
        </w:numPr>
        <w:autoSpaceDE w:val="0"/>
        <w:autoSpaceDN w:val="0"/>
        <w:adjustRightInd w:val="0"/>
        <w:spacing w:after="120" w:line="240" w:lineRule="auto"/>
        <w:rPr>
          <w:rFonts w:ascii="Arial" w:eastAsia="Calibri" w:hAnsi="Arial" w:cs="Arial"/>
          <w:color w:val="000000"/>
          <w:lang w:eastAsia="en-US"/>
        </w:rPr>
      </w:pPr>
      <w:r w:rsidRPr="00AC5EBA">
        <w:rPr>
          <w:rFonts w:ascii="Arial" w:eastAsia="Calibri" w:hAnsi="Arial" w:cs="Arial"/>
          <w:color w:val="000000"/>
          <w:lang w:eastAsia="en-US"/>
        </w:rPr>
        <w:t>Consumables (including scientific software licences dedicated to the collaboration)</w:t>
      </w:r>
    </w:p>
    <w:p w:rsidR="00AC5EBA" w:rsidRPr="00AC5EBA" w:rsidRDefault="00AC5EBA" w:rsidP="00AC5EBA">
      <w:pPr>
        <w:widowControl w:val="0"/>
        <w:numPr>
          <w:ilvl w:val="1"/>
          <w:numId w:val="5"/>
        </w:numPr>
        <w:autoSpaceDE w:val="0"/>
        <w:autoSpaceDN w:val="0"/>
        <w:adjustRightInd w:val="0"/>
        <w:spacing w:after="120" w:line="240" w:lineRule="auto"/>
        <w:rPr>
          <w:rFonts w:ascii="Arial" w:eastAsia="Calibri" w:hAnsi="Arial" w:cs="Arial"/>
          <w:color w:val="000000"/>
          <w:lang w:eastAsia="en-US"/>
        </w:rPr>
      </w:pPr>
      <w:r w:rsidRPr="00AC5EBA">
        <w:rPr>
          <w:rFonts w:ascii="Arial" w:eastAsia="Calibri" w:hAnsi="Arial" w:cs="Arial"/>
          <w:color w:val="000000"/>
          <w:lang w:eastAsia="en-US"/>
        </w:rPr>
        <w:lastRenderedPageBreak/>
        <w:t>Access to facilities or library services</w:t>
      </w:r>
    </w:p>
    <w:p w:rsidR="00AC5EBA" w:rsidRPr="00AC5EBA" w:rsidRDefault="00AC5EBA" w:rsidP="002E240C">
      <w:pPr>
        <w:widowControl w:val="0"/>
        <w:numPr>
          <w:ilvl w:val="1"/>
          <w:numId w:val="5"/>
        </w:numPr>
        <w:autoSpaceDE w:val="0"/>
        <w:autoSpaceDN w:val="0"/>
        <w:adjustRightInd w:val="0"/>
        <w:spacing w:after="120" w:line="240" w:lineRule="auto"/>
        <w:rPr>
          <w:rFonts w:ascii="Arial" w:eastAsia="Calibri" w:hAnsi="Arial" w:cs="Arial"/>
          <w:color w:val="000000"/>
          <w:lang w:eastAsia="en-US"/>
        </w:rPr>
      </w:pPr>
      <w:r w:rsidRPr="00AC5EBA">
        <w:rPr>
          <w:rFonts w:ascii="Arial" w:eastAsia="Calibri" w:hAnsi="Arial" w:cs="Arial"/>
          <w:color w:val="000000"/>
          <w:lang w:eastAsia="en-US"/>
        </w:rPr>
        <w:t>Appropriate fieldwork costs essential to the operation of the collaboration (including but not limited to costs for resea</w:t>
      </w:r>
      <w:r w:rsidR="002E240C">
        <w:rPr>
          <w:rFonts w:ascii="Arial" w:eastAsia="Calibri" w:hAnsi="Arial" w:cs="Arial"/>
          <w:color w:val="000000"/>
          <w:lang w:eastAsia="en-US"/>
        </w:rPr>
        <w:t>rch/data collection staff in Egypt</w:t>
      </w:r>
      <w:r w:rsidRPr="00AC5EBA">
        <w:rPr>
          <w:rFonts w:ascii="Arial" w:eastAsia="Calibri" w:hAnsi="Arial" w:cs="Arial"/>
          <w:color w:val="000000"/>
          <w:lang w:eastAsia="en-US"/>
        </w:rPr>
        <w:t>),</w:t>
      </w:r>
    </w:p>
    <w:p w:rsidR="008A348D" w:rsidRDefault="008A348D" w:rsidP="008A348D">
      <w:pPr>
        <w:widowControl w:val="0"/>
        <w:numPr>
          <w:ilvl w:val="0"/>
          <w:numId w:val="5"/>
        </w:numPr>
        <w:autoSpaceDE w:val="0"/>
        <w:autoSpaceDN w:val="0"/>
        <w:adjustRightInd w:val="0"/>
        <w:spacing w:after="120" w:line="240" w:lineRule="auto"/>
        <w:ind w:left="714" w:hanging="357"/>
        <w:rPr>
          <w:rFonts w:ascii="Arial" w:eastAsia="Calibri" w:hAnsi="Arial" w:cs="Arial"/>
          <w:color w:val="000000"/>
          <w:lang w:eastAsia="en-US"/>
        </w:rPr>
      </w:pPr>
      <w:r w:rsidRPr="008A348D">
        <w:rPr>
          <w:rFonts w:ascii="Arial" w:eastAsia="Calibri" w:hAnsi="Arial" w:cs="Arial"/>
          <w:color w:val="000000"/>
          <w:lang w:eastAsia="en-US"/>
        </w:rPr>
        <w:t xml:space="preserve">Operational Costs </w:t>
      </w:r>
    </w:p>
    <w:p w:rsidR="008A348D" w:rsidRPr="00AC5EBA" w:rsidRDefault="008A348D" w:rsidP="008A348D">
      <w:pPr>
        <w:widowControl w:val="0"/>
        <w:numPr>
          <w:ilvl w:val="1"/>
          <w:numId w:val="5"/>
        </w:numPr>
        <w:autoSpaceDE w:val="0"/>
        <w:autoSpaceDN w:val="0"/>
        <w:adjustRightInd w:val="0"/>
        <w:spacing w:after="120" w:line="240" w:lineRule="auto"/>
        <w:rPr>
          <w:rFonts w:ascii="Arial" w:eastAsia="Calibri" w:hAnsi="Arial" w:cs="Arial"/>
          <w:color w:val="000000"/>
          <w:lang w:eastAsia="en-US"/>
        </w:rPr>
      </w:pPr>
      <w:r w:rsidRPr="00AC5EBA">
        <w:rPr>
          <w:rFonts w:ascii="Arial" w:eastAsia="Calibri" w:hAnsi="Arial" w:cs="Arial"/>
          <w:color w:val="000000"/>
          <w:lang w:eastAsia="en-US"/>
        </w:rPr>
        <w:t>Travel (usually economy class) and subsistence costs in line with British Council policies</w:t>
      </w:r>
    </w:p>
    <w:p w:rsidR="008A348D" w:rsidRPr="00AC5EBA" w:rsidRDefault="008A348D" w:rsidP="008A348D">
      <w:pPr>
        <w:widowControl w:val="0"/>
        <w:numPr>
          <w:ilvl w:val="1"/>
          <w:numId w:val="5"/>
        </w:numPr>
        <w:autoSpaceDE w:val="0"/>
        <w:autoSpaceDN w:val="0"/>
        <w:adjustRightInd w:val="0"/>
        <w:spacing w:after="120" w:line="240" w:lineRule="auto"/>
        <w:rPr>
          <w:rFonts w:ascii="Arial" w:eastAsia="Calibri" w:hAnsi="Arial" w:cs="Arial"/>
          <w:color w:val="000000"/>
          <w:lang w:eastAsia="en-US"/>
        </w:rPr>
      </w:pPr>
      <w:r w:rsidRPr="00AC5EBA">
        <w:rPr>
          <w:rFonts w:ascii="Arial" w:eastAsia="Calibri" w:hAnsi="Arial" w:cs="Arial"/>
          <w:color w:val="000000"/>
          <w:lang w:eastAsia="en-US"/>
        </w:rPr>
        <w:t xml:space="preserve">Visa fees, vaccinations, medical insurance for visitors (if required for travel to </w:t>
      </w:r>
      <w:r>
        <w:rPr>
          <w:rFonts w:ascii="Arial" w:eastAsia="Calibri" w:hAnsi="Arial" w:cs="Arial"/>
          <w:color w:val="000000"/>
          <w:lang w:eastAsia="en-US"/>
        </w:rPr>
        <w:t>Egypt</w:t>
      </w:r>
      <w:r w:rsidRPr="00AC5EBA">
        <w:rPr>
          <w:rFonts w:ascii="Arial" w:eastAsia="Calibri" w:hAnsi="Arial" w:cs="Arial"/>
          <w:color w:val="000000"/>
          <w:lang w:eastAsia="en-US"/>
        </w:rPr>
        <w:t xml:space="preserve"> or the UK)</w:t>
      </w:r>
    </w:p>
    <w:p w:rsidR="008A348D" w:rsidRPr="00AC5EBA" w:rsidRDefault="008A348D" w:rsidP="008A348D">
      <w:pPr>
        <w:widowControl w:val="0"/>
        <w:numPr>
          <w:ilvl w:val="1"/>
          <w:numId w:val="5"/>
        </w:numPr>
        <w:autoSpaceDE w:val="0"/>
        <w:autoSpaceDN w:val="0"/>
        <w:adjustRightInd w:val="0"/>
        <w:spacing w:after="120" w:line="240" w:lineRule="auto"/>
        <w:rPr>
          <w:rFonts w:ascii="Arial" w:eastAsia="Calibri" w:hAnsi="Arial" w:cs="Arial"/>
          <w:color w:val="000000"/>
          <w:lang w:eastAsia="en-US"/>
        </w:rPr>
      </w:pPr>
      <w:r w:rsidRPr="00AC5EBA">
        <w:rPr>
          <w:rFonts w:ascii="Arial" w:eastAsia="Calibri" w:hAnsi="Arial" w:cs="Arial"/>
          <w:color w:val="000000"/>
          <w:lang w:eastAsia="en-US"/>
        </w:rPr>
        <w:t>Short-term room hire for meetings, training events, seminars and conferences integral to the collaboration and any additional costs pertaining to these activities (e.g. projector, flip charts)</w:t>
      </w:r>
    </w:p>
    <w:p w:rsidR="008A348D" w:rsidRPr="00AC5EBA" w:rsidRDefault="008A348D" w:rsidP="008A348D">
      <w:pPr>
        <w:widowControl w:val="0"/>
        <w:numPr>
          <w:ilvl w:val="1"/>
          <w:numId w:val="5"/>
        </w:numPr>
        <w:autoSpaceDE w:val="0"/>
        <w:autoSpaceDN w:val="0"/>
        <w:adjustRightInd w:val="0"/>
        <w:spacing w:after="120" w:line="240" w:lineRule="auto"/>
        <w:rPr>
          <w:rFonts w:ascii="Arial" w:eastAsia="Calibri" w:hAnsi="Arial" w:cs="Arial"/>
          <w:color w:val="000000"/>
          <w:lang w:eastAsia="en-US"/>
        </w:rPr>
      </w:pPr>
      <w:r w:rsidRPr="00AC5EBA">
        <w:rPr>
          <w:rFonts w:ascii="Arial" w:eastAsia="Calibri" w:hAnsi="Arial" w:cs="Arial"/>
          <w:color w:val="000000"/>
          <w:lang w:eastAsia="en-US"/>
        </w:rPr>
        <w:t>Basic catering costs associated with events or meetings directly relating to the collaboration (these must be justified in the budget breakdo</w:t>
      </w:r>
      <w:r>
        <w:rPr>
          <w:rFonts w:ascii="Arial" w:eastAsia="Calibri" w:hAnsi="Arial" w:cs="Arial"/>
          <w:color w:val="000000"/>
          <w:lang w:eastAsia="en-US"/>
        </w:rPr>
        <w:t>wn), unless specified otherwise</w:t>
      </w:r>
    </w:p>
    <w:p w:rsidR="008A348D" w:rsidRDefault="008A348D" w:rsidP="008A348D">
      <w:pPr>
        <w:widowControl w:val="0"/>
        <w:numPr>
          <w:ilvl w:val="0"/>
          <w:numId w:val="5"/>
        </w:numPr>
        <w:autoSpaceDE w:val="0"/>
        <w:autoSpaceDN w:val="0"/>
        <w:adjustRightInd w:val="0"/>
        <w:spacing w:after="120" w:line="240" w:lineRule="auto"/>
        <w:ind w:left="714" w:hanging="357"/>
        <w:rPr>
          <w:rFonts w:ascii="Arial" w:eastAsia="Calibri" w:hAnsi="Arial" w:cs="Arial"/>
          <w:color w:val="000000"/>
          <w:lang w:eastAsia="en-US"/>
        </w:rPr>
      </w:pPr>
      <w:r w:rsidRPr="008A348D">
        <w:rPr>
          <w:rFonts w:ascii="Arial" w:eastAsia="Calibri" w:hAnsi="Arial" w:cs="Arial"/>
          <w:color w:val="000000"/>
          <w:lang w:eastAsia="en-US"/>
        </w:rPr>
        <w:t xml:space="preserve">Communications costs </w:t>
      </w:r>
    </w:p>
    <w:p w:rsidR="008A348D" w:rsidRDefault="008A348D" w:rsidP="008A348D">
      <w:pPr>
        <w:widowControl w:val="0"/>
        <w:numPr>
          <w:ilvl w:val="1"/>
          <w:numId w:val="5"/>
        </w:numPr>
        <w:autoSpaceDE w:val="0"/>
        <w:autoSpaceDN w:val="0"/>
        <w:adjustRightInd w:val="0"/>
        <w:spacing w:after="120" w:line="240" w:lineRule="auto"/>
        <w:rPr>
          <w:rFonts w:ascii="Arial" w:eastAsia="Calibri" w:hAnsi="Arial" w:cs="Arial"/>
          <w:color w:val="000000"/>
          <w:lang w:eastAsia="en-US"/>
        </w:rPr>
      </w:pPr>
      <w:r w:rsidRPr="00AC5EBA">
        <w:rPr>
          <w:rFonts w:ascii="Arial" w:eastAsia="Calibri" w:hAnsi="Arial" w:cs="Arial"/>
          <w:color w:val="000000"/>
          <w:lang w:eastAsia="en-US"/>
        </w:rPr>
        <w:t>Publication costs and associated publishing and communications costs (including web page development by external providers, if appropriate) directly related to the collaboration</w:t>
      </w:r>
    </w:p>
    <w:p w:rsidR="008A348D" w:rsidRPr="008A348D" w:rsidRDefault="008A348D" w:rsidP="008A348D">
      <w:pPr>
        <w:widowControl w:val="0"/>
        <w:numPr>
          <w:ilvl w:val="1"/>
          <w:numId w:val="5"/>
        </w:numPr>
        <w:autoSpaceDE w:val="0"/>
        <w:autoSpaceDN w:val="0"/>
        <w:adjustRightInd w:val="0"/>
        <w:spacing w:after="120" w:line="240" w:lineRule="auto"/>
        <w:rPr>
          <w:rFonts w:ascii="Arial" w:eastAsia="Calibri" w:hAnsi="Arial" w:cs="Arial"/>
          <w:color w:val="000000"/>
          <w:lang w:eastAsia="en-US"/>
        </w:rPr>
      </w:pPr>
      <w:r w:rsidRPr="008A348D">
        <w:rPr>
          <w:rFonts w:ascii="Arial" w:eastAsia="Calibri" w:hAnsi="Arial" w:cs="Arial"/>
          <w:color w:val="000000"/>
          <w:lang w:eastAsia="en-US"/>
        </w:rPr>
        <w:t xml:space="preserve">Use of telecommunications such as video / audio / web conferencing </w:t>
      </w:r>
    </w:p>
    <w:p w:rsidR="008A348D" w:rsidRPr="008A348D" w:rsidRDefault="008A348D" w:rsidP="008A348D">
      <w:pPr>
        <w:widowControl w:val="0"/>
        <w:numPr>
          <w:ilvl w:val="0"/>
          <w:numId w:val="5"/>
        </w:numPr>
        <w:autoSpaceDE w:val="0"/>
        <w:autoSpaceDN w:val="0"/>
        <w:adjustRightInd w:val="0"/>
        <w:spacing w:after="120" w:line="240" w:lineRule="auto"/>
        <w:ind w:left="714" w:hanging="357"/>
        <w:rPr>
          <w:rFonts w:ascii="Arial" w:eastAsia="Calibri" w:hAnsi="Arial" w:cs="Arial"/>
          <w:color w:val="000000"/>
          <w:lang w:eastAsia="en-US"/>
        </w:rPr>
      </w:pPr>
      <w:r w:rsidRPr="008A348D">
        <w:rPr>
          <w:rFonts w:ascii="Arial" w:eastAsia="Calibri" w:hAnsi="Arial" w:cs="Arial"/>
          <w:color w:val="000000"/>
          <w:lang w:eastAsia="en-US"/>
        </w:rPr>
        <w:t xml:space="preserve">Other costs </w:t>
      </w:r>
    </w:p>
    <w:p w:rsidR="008A348D" w:rsidRPr="00AC5EBA" w:rsidRDefault="008A348D" w:rsidP="008A348D">
      <w:pPr>
        <w:widowControl w:val="0"/>
        <w:numPr>
          <w:ilvl w:val="1"/>
          <w:numId w:val="5"/>
        </w:numPr>
        <w:autoSpaceDE w:val="0"/>
        <w:autoSpaceDN w:val="0"/>
        <w:adjustRightInd w:val="0"/>
        <w:spacing w:after="120" w:line="240" w:lineRule="auto"/>
        <w:rPr>
          <w:rFonts w:ascii="Arial" w:eastAsia="Calibri" w:hAnsi="Arial" w:cs="Arial"/>
          <w:color w:val="000000"/>
          <w:lang w:eastAsia="en-US"/>
        </w:rPr>
      </w:pPr>
      <w:r w:rsidRPr="00AC5EBA">
        <w:rPr>
          <w:rFonts w:ascii="Arial" w:eastAsia="Calibri" w:hAnsi="Arial" w:cs="Arial"/>
          <w:color w:val="000000"/>
          <w:lang w:eastAsia="en-US"/>
        </w:rPr>
        <w:t>Bank charges for transfer of funds from the Lead Institution to Associated Partners to cover their travel and expenses.</w:t>
      </w:r>
    </w:p>
    <w:p w:rsidR="00686BFD" w:rsidRDefault="00686BFD" w:rsidP="00AC5EBA">
      <w:pPr>
        <w:autoSpaceDE w:val="0"/>
        <w:autoSpaceDN w:val="0"/>
        <w:adjustRightInd w:val="0"/>
        <w:spacing w:after="120" w:line="240" w:lineRule="auto"/>
      </w:pPr>
      <w:r>
        <w:t xml:space="preserve">The British Council is committed to equal opportunities and diversity and will consider, on a case by case basis, requests for support to encourage under-represented groups to engage in Institutional Links activity, so long as sufficient justification is provided. </w:t>
      </w:r>
    </w:p>
    <w:p w:rsidR="00AC5EBA" w:rsidRDefault="00AC5EBA" w:rsidP="00AC5EBA">
      <w:pPr>
        <w:autoSpaceDE w:val="0"/>
        <w:autoSpaceDN w:val="0"/>
        <w:adjustRightInd w:val="0"/>
        <w:spacing w:after="120" w:line="240" w:lineRule="auto"/>
        <w:rPr>
          <w:rFonts w:ascii="Arial" w:eastAsia="Calibri" w:hAnsi="Arial" w:cs="Arial"/>
          <w:b/>
          <w:bCs/>
          <w:color w:val="000000"/>
          <w:lang w:eastAsia="en-US"/>
        </w:rPr>
      </w:pPr>
      <w:r w:rsidRPr="00AC5EBA">
        <w:rPr>
          <w:rFonts w:ascii="Arial" w:eastAsia="Calibri" w:hAnsi="Arial" w:cs="Arial"/>
          <w:color w:val="000000"/>
          <w:lang w:eastAsia="en-US"/>
        </w:rPr>
        <w:t xml:space="preserve">Institutional Links grants </w:t>
      </w:r>
      <w:r w:rsidRPr="00AC5EBA">
        <w:rPr>
          <w:rFonts w:ascii="Arial" w:eastAsia="Calibri" w:hAnsi="Arial" w:cs="Arial"/>
          <w:b/>
          <w:color w:val="000000"/>
          <w:lang w:eastAsia="en-US"/>
        </w:rPr>
        <w:t>cannot</w:t>
      </w:r>
      <w:r w:rsidRPr="00AC5EBA">
        <w:rPr>
          <w:rFonts w:ascii="Arial" w:eastAsia="Calibri" w:hAnsi="Arial" w:cs="Arial"/>
          <w:b/>
          <w:bCs/>
          <w:color w:val="000000"/>
          <w:lang w:eastAsia="en-US"/>
        </w:rPr>
        <w:t xml:space="preserve"> cover: </w:t>
      </w:r>
    </w:p>
    <w:p w:rsidR="00686BFD" w:rsidRPr="00686BFD" w:rsidRDefault="00686BFD" w:rsidP="00686BFD">
      <w:pPr>
        <w:widowControl w:val="0"/>
        <w:numPr>
          <w:ilvl w:val="0"/>
          <w:numId w:val="4"/>
        </w:numPr>
        <w:autoSpaceDE w:val="0"/>
        <w:autoSpaceDN w:val="0"/>
        <w:adjustRightInd w:val="0"/>
        <w:spacing w:after="120" w:line="240" w:lineRule="auto"/>
        <w:ind w:left="714" w:hanging="357"/>
        <w:rPr>
          <w:rFonts w:ascii="Arial" w:eastAsia="Calibri" w:hAnsi="Arial" w:cs="Arial"/>
          <w:color w:val="000000"/>
          <w:lang w:eastAsia="en-US"/>
        </w:rPr>
      </w:pPr>
      <w:r w:rsidRPr="00686BFD">
        <w:rPr>
          <w:rFonts w:ascii="Arial" w:eastAsia="Calibri" w:hAnsi="Arial" w:cs="Arial"/>
          <w:color w:val="000000"/>
          <w:lang w:eastAsia="en-US"/>
        </w:rPr>
        <w:t xml:space="preserve">Costs of staff based in commercial organisations. </w:t>
      </w:r>
    </w:p>
    <w:p w:rsidR="00686BFD" w:rsidRPr="00686BFD" w:rsidRDefault="00686BFD" w:rsidP="00686BFD">
      <w:pPr>
        <w:widowControl w:val="0"/>
        <w:numPr>
          <w:ilvl w:val="0"/>
          <w:numId w:val="4"/>
        </w:numPr>
        <w:autoSpaceDE w:val="0"/>
        <w:autoSpaceDN w:val="0"/>
        <w:adjustRightInd w:val="0"/>
        <w:spacing w:after="120" w:line="240" w:lineRule="auto"/>
        <w:ind w:left="714" w:hanging="357"/>
        <w:rPr>
          <w:rFonts w:ascii="Arial" w:eastAsia="Calibri" w:hAnsi="Arial" w:cs="Arial"/>
          <w:color w:val="000000"/>
          <w:lang w:eastAsia="en-US"/>
        </w:rPr>
      </w:pPr>
      <w:r w:rsidRPr="00686BFD">
        <w:rPr>
          <w:rFonts w:ascii="Arial" w:eastAsia="Calibri" w:hAnsi="Arial" w:cs="Arial"/>
          <w:color w:val="000000"/>
          <w:lang w:eastAsia="en-US"/>
        </w:rPr>
        <w:t xml:space="preserve">Tuition Fees </w:t>
      </w:r>
    </w:p>
    <w:p w:rsidR="00686BFD" w:rsidRPr="00686BFD" w:rsidRDefault="00686BFD" w:rsidP="00686BFD">
      <w:pPr>
        <w:widowControl w:val="0"/>
        <w:numPr>
          <w:ilvl w:val="0"/>
          <w:numId w:val="4"/>
        </w:numPr>
        <w:autoSpaceDE w:val="0"/>
        <w:autoSpaceDN w:val="0"/>
        <w:adjustRightInd w:val="0"/>
        <w:spacing w:after="120" w:line="240" w:lineRule="auto"/>
        <w:ind w:left="714" w:hanging="357"/>
        <w:rPr>
          <w:rFonts w:ascii="Arial" w:eastAsia="Calibri" w:hAnsi="Arial" w:cs="Arial"/>
          <w:color w:val="000000"/>
          <w:lang w:eastAsia="en-US"/>
        </w:rPr>
      </w:pPr>
      <w:r w:rsidRPr="00686BFD">
        <w:rPr>
          <w:rFonts w:ascii="Arial" w:eastAsia="Calibri" w:hAnsi="Arial" w:cs="Arial"/>
          <w:color w:val="000000"/>
          <w:lang w:eastAsia="en-US"/>
        </w:rPr>
        <w:t xml:space="preserve">Bench Fees </w:t>
      </w:r>
    </w:p>
    <w:p w:rsidR="00686BFD" w:rsidRPr="00686BFD" w:rsidRDefault="00686BFD" w:rsidP="00686BFD">
      <w:pPr>
        <w:widowControl w:val="0"/>
        <w:numPr>
          <w:ilvl w:val="0"/>
          <w:numId w:val="4"/>
        </w:numPr>
        <w:autoSpaceDE w:val="0"/>
        <w:autoSpaceDN w:val="0"/>
        <w:adjustRightInd w:val="0"/>
        <w:spacing w:after="120" w:line="240" w:lineRule="auto"/>
        <w:ind w:left="714" w:hanging="357"/>
        <w:rPr>
          <w:rFonts w:ascii="Arial" w:eastAsia="Calibri" w:hAnsi="Arial" w:cs="Arial"/>
          <w:color w:val="000000"/>
          <w:lang w:eastAsia="en-US"/>
        </w:rPr>
      </w:pPr>
      <w:r w:rsidRPr="00686BFD">
        <w:rPr>
          <w:rFonts w:ascii="Arial" w:eastAsia="Calibri" w:hAnsi="Arial" w:cs="Arial"/>
          <w:color w:val="000000"/>
          <w:lang w:eastAsia="en-US"/>
        </w:rPr>
        <w:t xml:space="preserve">Costs related to writing up, promoting or disseminating previous research. </w:t>
      </w:r>
    </w:p>
    <w:p w:rsidR="00686BFD" w:rsidRPr="00686BFD" w:rsidRDefault="00686BFD" w:rsidP="00686BFD">
      <w:pPr>
        <w:widowControl w:val="0"/>
        <w:numPr>
          <w:ilvl w:val="0"/>
          <w:numId w:val="4"/>
        </w:numPr>
        <w:autoSpaceDE w:val="0"/>
        <w:autoSpaceDN w:val="0"/>
        <w:adjustRightInd w:val="0"/>
        <w:spacing w:after="120" w:line="240" w:lineRule="auto"/>
        <w:ind w:left="714" w:hanging="357"/>
        <w:rPr>
          <w:rFonts w:ascii="Arial" w:eastAsia="Calibri" w:hAnsi="Arial" w:cs="Arial"/>
          <w:color w:val="000000"/>
          <w:lang w:eastAsia="en-US"/>
        </w:rPr>
      </w:pPr>
      <w:r w:rsidRPr="00686BFD">
        <w:rPr>
          <w:rFonts w:ascii="Arial" w:eastAsia="Calibri" w:hAnsi="Arial" w:cs="Arial"/>
          <w:color w:val="000000"/>
          <w:lang w:eastAsia="en-US"/>
        </w:rPr>
        <w:t xml:space="preserve">Attendance at conferences or other events unless this is to present outputs and outcomes of the project. </w:t>
      </w:r>
    </w:p>
    <w:p w:rsidR="00686BFD" w:rsidRPr="00686BFD" w:rsidRDefault="00686BFD" w:rsidP="00686BFD">
      <w:pPr>
        <w:widowControl w:val="0"/>
        <w:numPr>
          <w:ilvl w:val="0"/>
          <w:numId w:val="4"/>
        </w:numPr>
        <w:autoSpaceDE w:val="0"/>
        <w:autoSpaceDN w:val="0"/>
        <w:adjustRightInd w:val="0"/>
        <w:spacing w:after="120" w:line="240" w:lineRule="auto"/>
        <w:ind w:left="714" w:hanging="357"/>
        <w:rPr>
          <w:rFonts w:ascii="Arial" w:eastAsia="Calibri" w:hAnsi="Arial" w:cs="Arial"/>
          <w:color w:val="000000"/>
          <w:lang w:eastAsia="en-US"/>
        </w:rPr>
      </w:pPr>
      <w:r w:rsidRPr="00686BFD">
        <w:rPr>
          <w:rFonts w:ascii="Arial" w:eastAsia="Calibri" w:hAnsi="Arial" w:cs="Arial"/>
          <w:color w:val="000000"/>
          <w:lang w:eastAsia="en-US"/>
        </w:rPr>
        <w:t xml:space="preserve">Patents costs </w:t>
      </w:r>
    </w:p>
    <w:p w:rsidR="00686BFD" w:rsidRPr="00686BFD" w:rsidRDefault="00686BFD" w:rsidP="00686BFD">
      <w:pPr>
        <w:pStyle w:val="Default"/>
        <w:numPr>
          <w:ilvl w:val="0"/>
          <w:numId w:val="4"/>
        </w:numPr>
        <w:rPr>
          <w:sz w:val="22"/>
          <w:szCs w:val="22"/>
        </w:rPr>
      </w:pPr>
      <w:r>
        <w:rPr>
          <w:sz w:val="22"/>
          <w:szCs w:val="22"/>
        </w:rPr>
        <w:t xml:space="preserve">Costs relating to the construction, procurement or rental of physical infrastructure (e.g. office buildings, laboratory facilities). It is expected that any rooms and facilities essential for the routine operation of collaboration are provided as an in-kind contribution by the </w:t>
      </w:r>
      <w:r w:rsidRPr="00686BFD">
        <w:rPr>
          <w:sz w:val="22"/>
          <w:szCs w:val="22"/>
        </w:rPr>
        <w:t xml:space="preserve">8 Newton Fund Institutional Links Guidelines for Applicants April 2016 call v.2 </w:t>
      </w:r>
    </w:p>
    <w:p w:rsidR="00686BFD" w:rsidRPr="00686BFD" w:rsidRDefault="00686BFD" w:rsidP="00686BFD">
      <w:pPr>
        <w:widowControl w:val="0"/>
        <w:numPr>
          <w:ilvl w:val="0"/>
          <w:numId w:val="4"/>
        </w:numPr>
        <w:autoSpaceDE w:val="0"/>
        <w:autoSpaceDN w:val="0"/>
        <w:adjustRightInd w:val="0"/>
        <w:spacing w:after="120" w:line="240" w:lineRule="auto"/>
        <w:ind w:left="714" w:hanging="357"/>
        <w:rPr>
          <w:rFonts w:ascii="Arial" w:eastAsia="Calibri" w:hAnsi="Arial" w:cs="Arial"/>
          <w:color w:val="000000"/>
          <w:lang w:eastAsia="en-US"/>
        </w:rPr>
      </w:pPr>
      <w:r w:rsidRPr="00686BFD">
        <w:rPr>
          <w:rFonts w:ascii="Arial" w:eastAsia="Calibri" w:hAnsi="Arial" w:cs="Arial"/>
          <w:color w:val="000000"/>
          <w:lang w:eastAsia="en-US"/>
        </w:rPr>
        <w:t>Participating</w:t>
      </w:r>
      <w:r w:rsidRPr="00686BFD">
        <w:rPr>
          <w:rFonts w:ascii="Arial" w:eastAsia="Calibri" w:hAnsi="Arial" w:cs="Arial"/>
          <w:color w:val="000000"/>
          <w:lang w:eastAsia="en-US"/>
        </w:rPr>
        <w:t xml:space="preserve"> institutions. These can be detailed as an in-kind contribution in the budget breakdown. </w:t>
      </w:r>
    </w:p>
    <w:p w:rsidR="00A17D4F" w:rsidRDefault="00686BFD" w:rsidP="00686BFD">
      <w:pPr>
        <w:widowControl w:val="0"/>
        <w:numPr>
          <w:ilvl w:val="0"/>
          <w:numId w:val="4"/>
        </w:numPr>
        <w:autoSpaceDE w:val="0"/>
        <w:autoSpaceDN w:val="0"/>
        <w:adjustRightInd w:val="0"/>
        <w:spacing w:after="120" w:line="240" w:lineRule="auto"/>
        <w:ind w:left="714" w:hanging="357"/>
        <w:rPr>
          <w:rFonts w:ascii="Arial" w:eastAsia="Calibri" w:hAnsi="Arial" w:cs="Arial"/>
          <w:color w:val="000000"/>
          <w:lang w:eastAsia="en-US"/>
        </w:rPr>
      </w:pPr>
      <w:r w:rsidRPr="00686BFD">
        <w:rPr>
          <w:rFonts w:ascii="Arial" w:eastAsia="Calibri" w:hAnsi="Arial" w:cs="Arial"/>
          <w:color w:val="000000"/>
          <w:lang w:eastAsia="en-US"/>
        </w:rPr>
        <w:t xml:space="preserve">Purchase or rental of standard office equipment (except specialist equipment essential to the research). This includes: </w:t>
      </w:r>
    </w:p>
    <w:p w:rsidR="00686BFD" w:rsidRPr="00686BFD" w:rsidRDefault="00686BFD" w:rsidP="00A17D4F">
      <w:pPr>
        <w:widowControl w:val="0"/>
        <w:numPr>
          <w:ilvl w:val="1"/>
          <w:numId w:val="5"/>
        </w:numPr>
        <w:autoSpaceDE w:val="0"/>
        <w:autoSpaceDN w:val="0"/>
        <w:adjustRightInd w:val="0"/>
        <w:spacing w:after="120" w:line="240" w:lineRule="auto"/>
        <w:rPr>
          <w:rFonts w:ascii="Arial" w:eastAsia="Calibri" w:hAnsi="Arial" w:cs="Arial"/>
          <w:color w:val="000000"/>
          <w:lang w:eastAsia="en-US"/>
        </w:rPr>
      </w:pPr>
      <w:r w:rsidRPr="00686BFD">
        <w:rPr>
          <w:rFonts w:ascii="Arial" w:eastAsia="Calibri" w:hAnsi="Arial" w:cs="Arial"/>
          <w:color w:val="000000"/>
          <w:lang w:eastAsia="en-US"/>
        </w:rPr>
        <w:t xml:space="preserve"> IT hardware – laptops, personal computers, iPads, tablets, etc. </w:t>
      </w:r>
    </w:p>
    <w:p w:rsidR="00B60E0F" w:rsidRDefault="00B60E0F" w:rsidP="00B60E0F">
      <w:pPr>
        <w:widowControl w:val="0"/>
        <w:autoSpaceDE w:val="0"/>
        <w:autoSpaceDN w:val="0"/>
        <w:adjustRightInd w:val="0"/>
        <w:spacing w:after="120" w:line="240" w:lineRule="auto"/>
        <w:ind w:left="1440"/>
        <w:rPr>
          <w:rFonts w:ascii="Arial" w:eastAsia="Calibri" w:hAnsi="Arial" w:cs="Arial"/>
          <w:color w:val="000000"/>
          <w:lang w:eastAsia="en-US"/>
        </w:rPr>
      </w:pPr>
    </w:p>
    <w:p w:rsidR="00686BFD" w:rsidRPr="00686BFD" w:rsidRDefault="00686BFD" w:rsidP="00A17D4F">
      <w:pPr>
        <w:widowControl w:val="0"/>
        <w:numPr>
          <w:ilvl w:val="1"/>
          <w:numId w:val="5"/>
        </w:numPr>
        <w:autoSpaceDE w:val="0"/>
        <w:autoSpaceDN w:val="0"/>
        <w:adjustRightInd w:val="0"/>
        <w:spacing w:after="120" w:line="240" w:lineRule="auto"/>
        <w:rPr>
          <w:rFonts w:ascii="Arial" w:eastAsia="Calibri" w:hAnsi="Arial" w:cs="Arial"/>
          <w:color w:val="000000"/>
          <w:lang w:eastAsia="en-US"/>
        </w:rPr>
      </w:pPr>
      <w:r w:rsidRPr="00686BFD">
        <w:rPr>
          <w:rFonts w:ascii="Arial" w:eastAsia="Calibri" w:hAnsi="Arial" w:cs="Arial"/>
          <w:color w:val="000000"/>
          <w:lang w:eastAsia="en-US"/>
        </w:rPr>
        <w:t xml:space="preserve">Office software </w:t>
      </w:r>
    </w:p>
    <w:p w:rsidR="00686BFD" w:rsidRPr="00686BFD" w:rsidRDefault="00686BFD" w:rsidP="00A17D4F">
      <w:pPr>
        <w:widowControl w:val="0"/>
        <w:numPr>
          <w:ilvl w:val="1"/>
          <w:numId w:val="5"/>
        </w:numPr>
        <w:autoSpaceDE w:val="0"/>
        <w:autoSpaceDN w:val="0"/>
        <w:adjustRightInd w:val="0"/>
        <w:spacing w:after="120" w:line="240" w:lineRule="auto"/>
        <w:rPr>
          <w:rFonts w:ascii="Arial" w:eastAsia="Calibri" w:hAnsi="Arial" w:cs="Arial"/>
          <w:color w:val="000000"/>
          <w:lang w:eastAsia="en-US"/>
        </w:rPr>
      </w:pPr>
      <w:r w:rsidRPr="00686BFD">
        <w:rPr>
          <w:rFonts w:ascii="Arial" w:eastAsia="Calibri" w:hAnsi="Arial" w:cs="Arial"/>
          <w:color w:val="000000"/>
          <w:lang w:eastAsia="en-US"/>
        </w:rPr>
        <w:t xml:space="preserve">Desks, chairs, filing cabinets, photocopiers, printers, fax machines. </w:t>
      </w:r>
    </w:p>
    <w:p w:rsidR="00686BFD" w:rsidRPr="00686BFD" w:rsidRDefault="00686BFD" w:rsidP="00A17D4F">
      <w:pPr>
        <w:widowControl w:val="0"/>
        <w:numPr>
          <w:ilvl w:val="0"/>
          <w:numId w:val="4"/>
        </w:numPr>
        <w:autoSpaceDE w:val="0"/>
        <w:autoSpaceDN w:val="0"/>
        <w:adjustRightInd w:val="0"/>
        <w:spacing w:after="120" w:line="240" w:lineRule="auto"/>
        <w:ind w:left="714" w:hanging="357"/>
        <w:rPr>
          <w:rFonts w:ascii="Arial" w:eastAsia="Calibri" w:hAnsi="Arial" w:cs="Arial"/>
          <w:color w:val="000000"/>
          <w:lang w:eastAsia="en-US"/>
        </w:rPr>
      </w:pPr>
      <w:r w:rsidRPr="00686BFD">
        <w:rPr>
          <w:rFonts w:ascii="Arial" w:eastAsia="Calibri" w:hAnsi="Arial" w:cs="Arial"/>
          <w:color w:val="000000"/>
          <w:lang w:eastAsia="en-US"/>
        </w:rPr>
        <w:t xml:space="preserve">Mobile phone rental or purchase </w:t>
      </w:r>
    </w:p>
    <w:p w:rsidR="00686BFD" w:rsidRPr="00686BFD" w:rsidRDefault="00686BFD" w:rsidP="00686BFD">
      <w:pPr>
        <w:widowControl w:val="0"/>
        <w:numPr>
          <w:ilvl w:val="0"/>
          <w:numId w:val="4"/>
        </w:numPr>
        <w:autoSpaceDE w:val="0"/>
        <w:autoSpaceDN w:val="0"/>
        <w:adjustRightInd w:val="0"/>
        <w:spacing w:after="120" w:line="240" w:lineRule="auto"/>
        <w:ind w:left="714" w:hanging="357"/>
        <w:rPr>
          <w:rFonts w:ascii="Arial" w:eastAsia="Calibri" w:hAnsi="Arial" w:cs="Arial"/>
          <w:color w:val="000000"/>
          <w:lang w:eastAsia="en-US"/>
        </w:rPr>
      </w:pPr>
      <w:r w:rsidRPr="00686BFD">
        <w:rPr>
          <w:rFonts w:ascii="Arial" w:eastAsia="Calibri" w:hAnsi="Arial" w:cs="Arial"/>
          <w:color w:val="000000"/>
          <w:lang w:eastAsia="en-US"/>
        </w:rPr>
        <w:t>Entertainment costs such as:</w:t>
      </w:r>
    </w:p>
    <w:p w:rsidR="00686BFD" w:rsidRPr="00686BFD" w:rsidRDefault="00686BFD" w:rsidP="00686BFD">
      <w:pPr>
        <w:widowControl w:val="0"/>
        <w:numPr>
          <w:ilvl w:val="1"/>
          <w:numId w:val="5"/>
        </w:numPr>
        <w:autoSpaceDE w:val="0"/>
        <w:autoSpaceDN w:val="0"/>
        <w:adjustRightInd w:val="0"/>
        <w:spacing w:after="120" w:line="240" w:lineRule="auto"/>
        <w:rPr>
          <w:rFonts w:ascii="Arial" w:eastAsia="Calibri" w:hAnsi="Arial" w:cs="Arial"/>
          <w:color w:val="000000"/>
          <w:lang w:eastAsia="en-US"/>
        </w:rPr>
      </w:pPr>
      <w:r w:rsidRPr="00686BFD">
        <w:rPr>
          <w:rFonts w:ascii="Arial" w:eastAsia="Calibri" w:hAnsi="Arial" w:cs="Arial"/>
          <w:color w:val="000000"/>
          <w:lang w:eastAsia="en-US"/>
        </w:rPr>
        <w:t xml:space="preserve"> gifts </w:t>
      </w:r>
    </w:p>
    <w:p w:rsidR="00686BFD" w:rsidRPr="00686BFD" w:rsidRDefault="00686BFD" w:rsidP="00686BFD">
      <w:pPr>
        <w:widowControl w:val="0"/>
        <w:numPr>
          <w:ilvl w:val="1"/>
          <w:numId w:val="5"/>
        </w:numPr>
        <w:autoSpaceDE w:val="0"/>
        <w:autoSpaceDN w:val="0"/>
        <w:adjustRightInd w:val="0"/>
        <w:spacing w:after="120" w:line="240" w:lineRule="auto"/>
        <w:rPr>
          <w:rFonts w:ascii="Arial" w:eastAsia="Calibri" w:hAnsi="Arial" w:cs="Arial"/>
          <w:color w:val="000000"/>
          <w:lang w:eastAsia="en-US"/>
        </w:rPr>
      </w:pPr>
      <w:r>
        <w:rPr>
          <w:rFonts w:ascii="Arial" w:eastAsia="Calibri" w:hAnsi="Arial" w:cs="Arial"/>
          <w:color w:val="000000"/>
          <w:lang w:eastAsia="en-US"/>
        </w:rPr>
        <w:t>A</w:t>
      </w:r>
      <w:r w:rsidRPr="00686BFD">
        <w:rPr>
          <w:rFonts w:ascii="Arial" w:eastAsia="Calibri" w:hAnsi="Arial" w:cs="Arial"/>
          <w:color w:val="000000"/>
          <w:lang w:eastAsia="en-US"/>
        </w:rPr>
        <w:t xml:space="preserve">lcohol </w:t>
      </w:r>
    </w:p>
    <w:p w:rsidR="00686BFD" w:rsidRPr="00686BFD" w:rsidRDefault="00686BFD" w:rsidP="00A17D4F">
      <w:pPr>
        <w:widowControl w:val="0"/>
        <w:numPr>
          <w:ilvl w:val="1"/>
          <w:numId w:val="5"/>
        </w:numPr>
        <w:autoSpaceDE w:val="0"/>
        <w:autoSpaceDN w:val="0"/>
        <w:adjustRightInd w:val="0"/>
        <w:spacing w:after="120" w:line="240" w:lineRule="auto"/>
        <w:rPr>
          <w:rFonts w:ascii="Arial" w:eastAsia="Calibri" w:hAnsi="Arial" w:cs="Arial"/>
          <w:color w:val="000000"/>
          <w:lang w:eastAsia="en-US"/>
        </w:rPr>
      </w:pPr>
      <w:r w:rsidRPr="00686BFD">
        <w:rPr>
          <w:rFonts w:ascii="Arial" w:eastAsia="Calibri" w:hAnsi="Arial" w:cs="Arial"/>
          <w:color w:val="000000"/>
          <w:lang w:eastAsia="en-US"/>
        </w:rPr>
        <w:t xml:space="preserve">Restaurant bills or hospitality costs for personnel not directly participating in the project. </w:t>
      </w:r>
    </w:p>
    <w:p w:rsidR="00686BFD" w:rsidRPr="00686BFD" w:rsidRDefault="00686BFD" w:rsidP="00A17D4F">
      <w:pPr>
        <w:widowControl w:val="0"/>
        <w:numPr>
          <w:ilvl w:val="1"/>
          <w:numId w:val="5"/>
        </w:numPr>
        <w:autoSpaceDE w:val="0"/>
        <w:autoSpaceDN w:val="0"/>
        <w:adjustRightInd w:val="0"/>
        <w:spacing w:after="120" w:line="240" w:lineRule="auto"/>
        <w:rPr>
          <w:rFonts w:ascii="Arial" w:eastAsia="Calibri" w:hAnsi="Arial" w:cs="Arial"/>
          <w:color w:val="000000"/>
          <w:lang w:eastAsia="en-US"/>
        </w:rPr>
      </w:pPr>
      <w:r w:rsidRPr="00686BFD">
        <w:rPr>
          <w:rFonts w:ascii="Arial" w:eastAsia="Calibri" w:hAnsi="Arial" w:cs="Arial"/>
          <w:color w:val="000000"/>
          <w:lang w:eastAsia="en-US"/>
        </w:rPr>
        <w:t xml:space="preserve">Excessive restaurant costs. </w:t>
      </w:r>
    </w:p>
    <w:p w:rsidR="00686BFD" w:rsidRDefault="00686BFD" w:rsidP="00686BFD">
      <w:pPr>
        <w:widowControl w:val="0"/>
        <w:numPr>
          <w:ilvl w:val="0"/>
          <w:numId w:val="4"/>
        </w:numPr>
        <w:autoSpaceDE w:val="0"/>
        <w:autoSpaceDN w:val="0"/>
        <w:adjustRightInd w:val="0"/>
        <w:spacing w:after="120" w:line="240" w:lineRule="auto"/>
        <w:ind w:left="714" w:hanging="357"/>
        <w:rPr>
          <w:rFonts w:ascii="Arial" w:eastAsia="Calibri" w:hAnsi="Arial" w:cs="Arial"/>
          <w:color w:val="000000"/>
          <w:lang w:eastAsia="en-US"/>
        </w:rPr>
      </w:pPr>
      <w:r w:rsidRPr="00686BFD">
        <w:rPr>
          <w:rFonts w:ascii="Arial" w:eastAsia="Calibri" w:hAnsi="Arial" w:cs="Arial"/>
          <w:color w:val="000000"/>
          <w:lang w:eastAsia="en-US"/>
        </w:rPr>
        <w:t xml:space="preserve">Other indirect costs not listed in the above </w:t>
      </w:r>
    </w:p>
    <w:p w:rsidR="00350F56" w:rsidRPr="00686BFD" w:rsidRDefault="00350F56" w:rsidP="00350F56">
      <w:pPr>
        <w:widowControl w:val="0"/>
        <w:autoSpaceDE w:val="0"/>
        <w:autoSpaceDN w:val="0"/>
        <w:adjustRightInd w:val="0"/>
        <w:spacing w:after="120" w:line="240" w:lineRule="auto"/>
        <w:ind w:left="714"/>
        <w:rPr>
          <w:rFonts w:ascii="Arial" w:eastAsia="Calibri" w:hAnsi="Arial" w:cs="Arial"/>
          <w:color w:val="000000"/>
          <w:lang w:eastAsia="en-US"/>
        </w:rPr>
      </w:pPr>
    </w:p>
    <w:p w:rsidR="00B60E0F" w:rsidRPr="00350F56" w:rsidRDefault="00B60E0F">
      <w:pPr>
        <w:rPr>
          <w:rFonts w:ascii="Arial" w:eastAsia="Calibri" w:hAnsi="Arial" w:cs="Arial"/>
          <w:b/>
          <w:color w:val="000000"/>
          <w:lang w:eastAsia="en-US"/>
        </w:rPr>
      </w:pPr>
      <w:r w:rsidRPr="00350F56">
        <w:rPr>
          <w:rFonts w:ascii="Arial" w:eastAsia="Calibri" w:hAnsi="Arial" w:cs="Arial"/>
          <w:b/>
          <w:color w:val="000000"/>
          <w:lang w:eastAsia="en-US"/>
        </w:rPr>
        <w:t>For Egypt Specific Guidelines for Budget Requirements</w:t>
      </w:r>
    </w:p>
    <w:p w:rsidR="00B60E0F" w:rsidRPr="00B60E0F" w:rsidRDefault="00B60E0F" w:rsidP="00B60E0F">
      <w:pPr>
        <w:widowControl w:val="0"/>
        <w:numPr>
          <w:ilvl w:val="0"/>
          <w:numId w:val="4"/>
        </w:numPr>
        <w:autoSpaceDE w:val="0"/>
        <w:autoSpaceDN w:val="0"/>
        <w:adjustRightInd w:val="0"/>
        <w:spacing w:after="120" w:line="240" w:lineRule="auto"/>
        <w:ind w:left="714" w:hanging="357"/>
        <w:rPr>
          <w:rFonts w:ascii="Arial" w:eastAsia="Calibri" w:hAnsi="Arial" w:cs="Arial"/>
          <w:color w:val="000000"/>
          <w:lang w:eastAsia="en-US"/>
        </w:rPr>
      </w:pPr>
      <w:r w:rsidRPr="00B60E0F">
        <w:rPr>
          <w:rFonts w:ascii="Arial" w:eastAsia="Calibri" w:hAnsi="Arial" w:cs="Arial"/>
          <w:color w:val="000000"/>
          <w:lang w:eastAsia="en-US"/>
        </w:rPr>
        <w:t xml:space="preserve">Applicants will need to submit two budgets – one for the UK side and one for the Egypt side. </w:t>
      </w:r>
    </w:p>
    <w:p w:rsidR="00B60E0F" w:rsidRPr="00B60E0F" w:rsidRDefault="00B60E0F" w:rsidP="00B60E0F">
      <w:pPr>
        <w:widowControl w:val="0"/>
        <w:numPr>
          <w:ilvl w:val="0"/>
          <w:numId w:val="4"/>
        </w:numPr>
        <w:autoSpaceDE w:val="0"/>
        <w:autoSpaceDN w:val="0"/>
        <w:adjustRightInd w:val="0"/>
        <w:spacing w:after="120" w:line="240" w:lineRule="auto"/>
        <w:ind w:left="714" w:hanging="357"/>
        <w:rPr>
          <w:rFonts w:ascii="Arial" w:eastAsia="Calibri" w:hAnsi="Arial" w:cs="Arial"/>
          <w:color w:val="000000"/>
          <w:lang w:eastAsia="en-US"/>
        </w:rPr>
      </w:pPr>
      <w:r w:rsidRPr="00B60E0F">
        <w:rPr>
          <w:rFonts w:ascii="Arial" w:eastAsia="Calibri" w:hAnsi="Arial" w:cs="Arial"/>
          <w:color w:val="000000"/>
          <w:lang w:eastAsia="en-US"/>
        </w:rPr>
        <w:t>For the UK budget, allowances will be the same as in the general guidelines (</w:t>
      </w:r>
      <w:proofErr w:type="spellStart"/>
      <w:r w:rsidRPr="00B60E0F">
        <w:rPr>
          <w:rFonts w:ascii="Arial" w:eastAsia="Calibri" w:hAnsi="Arial" w:cs="Arial"/>
          <w:color w:val="000000"/>
          <w:lang w:eastAsia="en-US"/>
        </w:rPr>
        <w:t>ie</w:t>
      </w:r>
      <w:proofErr w:type="spellEnd"/>
      <w:r w:rsidRPr="00B60E0F">
        <w:rPr>
          <w:rFonts w:ascii="Arial" w:eastAsia="Calibri" w:hAnsi="Arial" w:cs="Arial"/>
          <w:color w:val="000000"/>
          <w:lang w:eastAsia="en-US"/>
        </w:rPr>
        <w:t xml:space="preserve"> 30% max for staff costs, 30% max for other related research costs) </w:t>
      </w:r>
    </w:p>
    <w:p w:rsidR="00B60E0F" w:rsidRPr="00B60E0F" w:rsidRDefault="00B60E0F" w:rsidP="00B60E0F">
      <w:pPr>
        <w:widowControl w:val="0"/>
        <w:numPr>
          <w:ilvl w:val="0"/>
          <w:numId w:val="4"/>
        </w:numPr>
        <w:autoSpaceDE w:val="0"/>
        <w:autoSpaceDN w:val="0"/>
        <w:adjustRightInd w:val="0"/>
        <w:spacing w:after="120" w:line="240" w:lineRule="auto"/>
        <w:ind w:left="714" w:hanging="357"/>
        <w:rPr>
          <w:rFonts w:ascii="Arial" w:eastAsia="Calibri" w:hAnsi="Arial" w:cs="Arial"/>
          <w:color w:val="000000"/>
          <w:lang w:eastAsia="en-US"/>
        </w:rPr>
      </w:pPr>
      <w:r w:rsidRPr="00B60E0F">
        <w:rPr>
          <w:rFonts w:ascii="Arial" w:eastAsia="Calibri" w:hAnsi="Arial" w:cs="Arial"/>
          <w:color w:val="000000"/>
          <w:lang w:eastAsia="en-US"/>
        </w:rPr>
        <w:t xml:space="preserve">For the Egyptian budget, allowances will be as follows: </w:t>
      </w:r>
    </w:p>
    <w:p w:rsidR="00B60E0F" w:rsidRPr="00B60E0F" w:rsidRDefault="00B60E0F" w:rsidP="00B60E0F">
      <w:pPr>
        <w:widowControl w:val="0"/>
        <w:numPr>
          <w:ilvl w:val="0"/>
          <w:numId w:val="4"/>
        </w:numPr>
        <w:autoSpaceDE w:val="0"/>
        <w:autoSpaceDN w:val="0"/>
        <w:adjustRightInd w:val="0"/>
        <w:spacing w:after="120" w:line="240" w:lineRule="auto"/>
        <w:ind w:left="714" w:hanging="357"/>
        <w:rPr>
          <w:rFonts w:ascii="Arial" w:eastAsia="Calibri" w:hAnsi="Arial" w:cs="Arial"/>
          <w:color w:val="000000"/>
          <w:lang w:eastAsia="en-US"/>
        </w:rPr>
      </w:pPr>
      <w:r w:rsidRPr="00B60E0F">
        <w:rPr>
          <w:rFonts w:ascii="Arial" w:eastAsia="Calibri" w:hAnsi="Arial" w:cs="Arial"/>
          <w:color w:val="000000"/>
          <w:lang w:eastAsia="en-US"/>
        </w:rPr>
        <w:t xml:space="preserve">Max 25% on salary/staff costs </w:t>
      </w:r>
    </w:p>
    <w:p w:rsidR="00B60E0F" w:rsidRPr="00B60E0F" w:rsidRDefault="00B60E0F" w:rsidP="00B60E0F">
      <w:pPr>
        <w:widowControl w:val="0"/>
        <w:numPr>
          <w:ilvl w:val="0"/>
          <w:numId w:val="4"/>
        </w:numPr>
        <w:autoSpaceDE w:val="0"/>
        <w:autoSpaceDN w:val="0"/>
        <w:adjustRightInd w:val="0"/>
        <w:spacing w:after="120" w:line="240" w:lineRule="auto"/>
        <w:ind w:left="714" w:hanging="357"/>
        <w:rPr>
          <w:rFonts w:ascii="Arial" w:eastAsia="Calibri" w:hAnsi="Arial" w:cs="Arial"/>
          <w:color w:val="000000"/>
          <w:lang w:eastAsia="en-US"/>
        </w:rPr>
      </w:pPr>
      <w:r w:rsidRPr="00B60E0F">
        <w:rPr>
          <w:rFonts w:ascii="Arial" w:eastAsia="Calibri" w:hAnsi="Arial" w:cs="Arial"/>
          <w:color w:val="000000"/>
          <w:lang w:eastAsia="en-US"/>
        </w:rPr>
        <w:t xml:space="preserve">Max 10% on travel costs </w:t>
      </w:r>
    </w:p>
    <w:p w:rsidR="00B60E0F" w:rsidRPr="00B60E0F" w:rsidRDefault="00B60E0F" w:rsidP="00B60E0F">
      <w:pPr>
        <w:widowControl w:val="0"/>
        <w:numPr>
          <w:ilvl w:val="0"/>
          <w:numId w:val="4"/>
        </w:numPr>
        <w:autoSpaceDE w:val="0"/>
        <w:autoSpaceDN w:val="0"/>
        <w:adjustRightInd w:val="0"/>
        <w:spacing w:after="120" w:line="240" w:lineRule="auto"/>
        <w:ind w:left="714" w:hanging="357"/>
        <w:rPr>
          <w:rFonts w:ascii="Arial" w:eastAsia="Calibri" w:hAnsi="Arial" w:cs="Arial"/>
          <w:color w:val="000000"/>
          <w:lang w:eastAsia="en-US"/>
        </w:rPr>
      </w:pPr>
      <w:r w:rsidRPr="00B60E0F">
        <w:rPr>
          <w:rFonts w:ascii="Arial" w:eastAsia="Calibri" w:hAnsi="Arial" w:cs="Arial"/>
          <w:color w:val="000000"/>
          <w:lang w:eastAsia="en-US"/>
        </w:rPr>
        <w:t xml:space="preserve">Max 20% on indirect costs/overheads </w:t>
      </w:r>
    </w:p>
    <w:p w:rsidR="00B60E0F" w:rsidRDefault="00B60E0F" w:rsidP="00B60E0F">
      <w:pPr>
        <w:widowControl w:val="0"/>
        <w:numPr>
          <w:ilvl w:val="0"/>
          <w:numId w:val="4"/>
        </w:numPr>
        <w:autoSpaceDE w:val="0"/>
        <w:autoSpaceDN w:val="0"/>
        <w:adjustRightInd w:val="0"/>
        <w:spacing w:after="120" w:line="240" w:lineRule="auto"/>
        <w:ind w:left="714" w:hanging="357"/>
        <w:rPr>
          <w:rFonts w:ascii="Arial" w:eastAsia="Calibri" w:hAnsi="Arial" w:cs="Arial"/>
          <w:color w:val="000000"/>
          <w:lang w:eastAsia="en-US"/>
        </w:rPr>
      </w:pPr>
      <w:r w:rsidRPr="00B60E0F">
        <w:rPr>
          <w:rFonts w:ascii="Arial" w:eastAsia="Calibri" w:hAnsi="Arial" w:cs="Arial"/>
          <w:color w:val="000000"/>
          <w:lang w:eastAsia="en-US"/>
        </w:rPr>
        <w:t xml:space="preserve">The remaining 45% can go on other costs (research costs, equipment, communication, publication, materials, field work expenses) </w:t>
      </w:r>
    </w:p>
    <w:p w:rsidR="00350F56" w:rsidRPr="00350F56" w:rsidRDefault="00350F56" w:rsidP="00350F56">
      <w:pPr>
        <w:autoSpaceDE w:val="0"/>
        <w:autoSpaceDN w:val="0"/>
        <w:adjustRightInd w:val="0"/>
        <w:spacing w:after="0" w:line="240" w:lineRule="auto"/>
        <w:rPr>
          <w:rFonts w:ascii="Arial" w:hAnsi="Arial" w:cs="Arial"/>
          <w:sz w:val="24"/>
          <w:szCs w:val="24"/>
        </w:rPr>
      </w:pPr>
    </w:p>
    <w:p w:rsidR="00350F56" w:rsidRDefault="00350F56" w:rsidP="00350F56">
      <w:pPr>
        <w:autoSpaceDE w:val="0"/>
        <w:autoSpaceDN w:val="0"/>
        <w:adjustRightInd w:val="0"/>
        <w:spacing w:after="0" w:line="240" w:lineRule="auto"/>
        <w:rPr>
          <w:rFonts w:ascii="Arial" w:hAnsi="Arial" w:cs="Arial"/>
          <w:color w:val="000000"/>
        </w:rPr>
      </w:pPr>
      <w:r w:rsidRPr="00350F56">
        <w:rPr>
          <w:rFonts w:ascii="Arial" w:hAnsi="Arial" w:cs="Arial"/>
          <w:color w:val="000000"/>
        </w:rPr>
        <w:t xml:space="preserve">For full details on STDF's budgetary and other requirements, please see: </w:t>
      </w:r>
      <w:hyperlink r:id="rId9" w:history="1">
        <w:r w:rsidRPr="006C6F55">
          <w:rPr>
            <w:rStyle w:val="Hyperlink"/>
            <w:rFonts w:ascii="Arial" w:hAnsi="Arial" w:cs="Arial"/>
          </w:rPr>
          <w:t>http://stdf.org.eg/index.php/publications-and-statistics/regulations</w:t>
        </w:r>
      </w:hyperlink>
      <w:r w:rsidRPr="00350F56">
        <w:rPr>
          <w:rFonts w:ascii="Arial" w:hAnsi="Arial" w:cs="Arial"/>
          <w:color w:val="000000"/>
        </w:rPr>
        <w:t>.</w:t>
      </w:r>
    </w:p>
    <w:p w:rsidR="00350F56" w:rsidRDefault="00350F56" w:rsidP="00350F56">
      <w:pPr>
        <w:autoSpaceDE w:val="0"/>
        <w:autoSpaceDN w:val="0"/>
        <w:adjustRightInd w:val="0"/>
        <w:spacing w:after="0" w:line="240" w:lineRule="auto"/>
        <w:rPr>
          <w:rFonts w:ascii="Arial" w:hAnsi="Arial" w:cs="Arial"/>
          <w:color w:val="000000"/>
        </w:rPr>
      </w:pPr>
    </w:p>
    <w:p w:rsidR="00350F56" w:rsidRPr="00350F56" w:rsidRDefault="00350F56" w:rsidP="00350F56">
      <w:pPr>
        <w:autoSpaceDE w:val="0"/>
        <w:autoSpaceDN w:val="0"/>
        <w:adjustRightInd w:val="0"/>
        <w:spacing w:after="0" w:line="240" w:lineRule="auto"/>
        <w:rPr>
          <w:rFonts w:ascii="Arial" w:hAnsi="Arial" w:cs="Arial"/>
          <w:color w:val="000000"/>
        </w:rPr>
      </w:pPr>
      <w:bookmarkStart w:id="0" w:name="_GoBack"/>
      <w:bookmarkEnd w:id="0"/>
      <w:r w:rsidRPr="00350F56">
        <w:rPr>
          <w:rFonts w:ascii="Arial" w:hAnsi="Arial" w:cs="Arial"/>
          <w:color w:val="000000"/>
        </w:rPr>
        <w:t xml:space="preserve"> </w:t>
      </w:r>
    </w:p>
    <w:p w:rsidR="00350F56" w:rsidRPr="00B60E0F" w:rsidRDefault="00350F56" w:rsidP="00350F56">
      <w:pPr>
        <w:widowControl w:val="0"/>
        <w:autoSpaceDE w:val="0"/>
        <w:autoSpaceDN w:val="0"/>
        <w:adjustRightInd w:val="0"/>
        <w:spacing w:after="120" w:line="240" w:lineRule="auto"/>
        <w:ind w:left="714"/>
        <w:rPr>
          <w:rFonts w:ascii="Arial" w:eastAsia="Calibri" w:hAnsi="Arial" w:cs="Arial"/>
          <w:color w:val="000000"/>
          <w:lang w:eastAsia="en-US"/>
        </w:rPr>
      </w:pPr>
    </w:p>
    <w:p w:rsidR="00B60E0F" w:rsidRDefault="00B60E0F">
      <w:pPr>
        <w:rPr>
          <w:rFonts w:ascii="Arial" w:hAnsi="Arial" w:cs="Arial"/>
        </w:rPr>
      </w:pPr>
    </w:p>
    <w:sectPr w:rsidR="00B60E0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CEB" w:rsidRDefault="006C4CEB" w:rsidP="00AC5EBA">
      <w:pPr>
        <w:spacing w:after="0" w:line="240" w:lineRule="auto"/>
      </w:pPr>
      <w:r>
        <w:separator/>
      </w:r>
    </w:p>
  </w:endnote>
  <w:endnote w:type="continuationSeparator" w:id="0">
    <w:p w:rsidR="006C4CEB" w:rsidRDefault="006C4CEB" w:rsidP="00AC5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CEB" w:rsidRDefault="006C4CEB" w:rsidP="00AC5EBA">
      <w:pPr>
        <w:spacing w:after="0" w:line="240" w:lineRule="auto"/>
      </w:pPr>
      <w:r>
        <w:separator/>
      </w:r>
    </w:p>
  </w:footnote>
  <w:footnote w:type="continuationSeparator" w:id="0">
    <w:p w:rsidR="006C4CEB" w:rsidRDefault="006C4CEB" w:rsidP="00AC5EBA">
      <w:pPr>
        <w:spacing w:after="0" w:line="240" w:lineRule="auto"/>
      </w:pPr>
      <w:r>
        <w:continuationSeparator/>
      </w:r>
    </w:p>
  </w:footnote>
  <w:footnote w:id="1">
    <w:p w:rsidR="006C4CEB" w:rsidRDefault="006C4CEB" w:rsidP="00AC5EBA">
      <w:pPr>
        <w:pStyle w:val="FootnoteText"/>
      </w:pPr>
      <w:r>
        <w:rPr>
          <w:rStyle w:val="FootnoteReference"/>
        </w:rPr>
        <w:footnoteRef/>
      </w:r>
      <w:r>
        <w:t xml:space="preserve"> </w:t>
      </w:r>
      <w:r>
        <w:rPr>
          <w:color w:val="000000"/>
        </w:rPr>
        <w:t>Budget requests pertaining to these costs have to include</w:t>
      </w:r>
      <w:r w:rsidRPr="00EE703D">
        <w:t xml:space="preserve"> any VAT </w:t>
      </w:r>
      <w:r w:rsidRPr="002227B4">
        <w:t>costs, delivery and installation</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CEB" w:rsidRDefault="006C4CEB">
    <w:pPr>
      <w:pStyle w:val="Header"/>
    </w:pPr>
    <w:r>
      <w:rPr>
        <w:noProof/>
        <w:lang w:eastAsia="en-GB"/>
      </w:rPr>
      <w:drawing>
        <wp:inline distT="0" distB="0" distL="0" distR="0" wp14:anchorId="7CC74F7F" wp14:editId="0541B5A6">
          <wp:extent cx="1352550" cy="454795"/>
          <wp:effectExtent l="0" t="0" r="0" b="2540"/>
          <wp:docPr id="1" name="Picture 1" descr="G:\Programmes\Science\Newton Fund\04 Communications\Branding\Logos\British Counci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rogrammes\Science\Newton Fund\04 Communications\Branding\Logos\British Council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4779" cy="455544"/>
                  </a:xfrm>
                  <a:prstGeom prst="rect">
                    <a:avLst/>
                  </a:prstGeom>
                  <a:noFill/>
                  <a:ln>
                    <a:noFill/>
                  </a:ln>
                </pic:spPr>
              </pic:pic>
            </a:graphicData>
          </a:graphic>
        </wp:inline>
      </w:drawing>
    </w:r>
    <w:r>
      <w:t xml:space="preserve">                                                          </w:t>
    </w:r>
    <w:r>
      <w:rPr>
        <w:noProof/>
        <w:lang w:eastAsia="en-GB"/>
      </w:rPr>
      <w:drawing>
        <wp:inline distT="0" distB="0" distL="0" distR="0" wp14:anchorId="44E2542E" wp14:editId="39C44F5D">
          <wp:extent cx="2536190" cy="463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36190" cy="4635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B1F40"/>
    <w:multiLevelType w:val="hybridMultilevel"/>
    <w:tmpl w:val="15EC6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AB5B73"/>
    <w:multiLevelType w:val="hybridMultilevel"/>
    <w:tmpl w:val="469082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6E70F8"/>
    <w:multiLevelType w:val="hybridMultilevel"/>
    <w:tmpl w:val="6AC2F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C917E3"/>
    <w:multiLevelType w:val="hybridMultilevel"/>
    <w:tmpl w:val="3B0EE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5B47CA"/>
    <w:multiLevelType w:val="hybridMultilevel"/>
    <w:tmpl w:val="CA7C8E94"/>
    <w:lvl w:ilvl="0" w:tplc="B4D61A1A">
      <w:start w:val="1"/>
      <w:numFmt w:val="decimal"/>
      <w:pStyle w:val="Heading2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BB91943"/>
    <w:multiLevelType w:val="hybridMultilevel"/>
    <w:tmpl w:val="630676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5300C02"/>
    <w:multiLevelType w:val="hybridMultilevel"/>
    <w:tmpl w:val="A6A2F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07A4D2B"/>
    <w:multiLevelType w:val="hybridMultilevel"/>
    <w:tmpl w:val="621C4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1D713EF"/>
    <w:multiLevelType w:val="hybridMultilevel"/>
    <w:tmpl w:val="C4E4E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8"/>
  </w:num>
  <w:num w:numId="5">
    <w:abstractNumId w:val="5"/>
  </w:num>
  <w:num w:numId="6">
    <w:abstractNumId w:val="2"/>
  </w:num>
  <w:num w:numId="7">
    <w:abstractNumId w:val="7"/>
  </w:num>
  <w:num w:numId="8">
    <w:abstractNumId w:val="4"/>
    <w:lvlOverride w:ilvl="0">
      <w:startOverride w:val="5"/>
    </w:lvlOverride>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EBA"/>
    <w:rsid w:val="002D7673"/>
    <w:rsid w:val="002E240C"/>
    <w:rsid w:val="00350F56"/>
    <w:rsid w:val="00686BFD"/>
    <w:rsid w:val="006C4CEB"/>
    <w:rsid w:val="007A7E83"/>
    <w:rsid w:val="00816B82"/>
    <w:rsid w:val="008A348D"/>
    <w:rsid w:val="00987E59"/>
    <w:rsid w:val="00A17D4F"/>
    <w:rsid w:val="00AC5EBA"/>
    <w:rsid w:val="00B60E0F"/>
    <w:rsid w:val="00C8554B"/>
    <w:rsid w:val="00D129C6"/>
    <w:rsid w:val="00E04F9D"/>
    <w:rsid w:val="00E75E7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C5E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5EBA"/>
    <w:rPr>
      <w:sz w:val="20"/>
      <w:szCs w:val="20"/>
    </w:rPr>
  </w:style>
  <w:style w:type="character" w:styleId="Hyperlink">
    <w:name w:val="Hyperlink"/>
    <w:basedOn w:val="DefaultParagraphFont"/>
    <w:uiPriority w:val="99"/>
    <w:semiHidden/>
    <w:rsid w:val="00AC5EBA"/>
    <w:rPr>
      <w:rFonts w:cs="Times New Roman"/>
      <w:color w:val="0000FF"/>
      <w:u w:val="single"/>
    </w:rPr>
  </w:style>
  <w:style w:type="character" w:styleId="FootnoteReference">
    <w:name w:val="footnote reference"/>
    <w:basedOn w:val="DefaultParagraphFont"/>
    <w:uiPriority w:val="99"/>
    <w:semiHidden/>
    <w:unhideWhenUsed/>
    <w:rsid w:val="00AC5EBA"/>
    <w:rPr>
      <w:vertAlign w:val="superscript"/>
    </w:rPr>
  </w:style>
  <w:style w:type="paragraph" w:customStyle="1" w:styleId="Heading21">
    <w:name w:val="Heading 21"/>
    <w:basedOn w:val="ListParagraph"/>
    <w:qFormat/>
    <w:rsid w:val="00AC5EBA"/>
    <w:pPr>
      <w:widowControl w:val="0"/>
      <w:numPr>
        <w:numId w:val="2"/>
      </w:numPr>
      <w:tabs>
        <w:tab w:val="num" w:pos="360"/>
      </w:tabs>
      <w:spacing w:before="360" w:after="120" w:line="240" w:lineRule="auto"/>
      <w:ind w:left="720" w:firstLine="0"/>
      <w:contextualSpacing w:val="0"/>
    </w:pPr>
    <w:rPr>
      <w:rFonts w:ascii="Arial" w:eastAsia="Calibri" w:hAnsi="Arial" w:cs="Arial"/>
      <w:b/>
      <w:szCs w:val="16"/>
      <w:lang w:eastAsia="en-US"/>
    </w:rPr>
  </w:style>
  <w:style w:type="paragraph" w:styleId="ListParagraph">
    <w:name w:val="List Paragraph"/>
    <w:basedOn w:val="Normal"/>
    <w:uiPriority w:val="34"/>
    <w:qFormat/>
    <w:rsid w:val="00AC5EBA"/>
    <w:pPr>
      <w:ind w:left="720"/>
      <w:contextualSpacing/>
    </w:pPr>
  </w:style>
  <w:style w:type="paragraph" w:styleId="Header">
    <w:name w:val="header"/>
    <w:basedOn w:val="Normal"/>
    <w:link w:val="HeaderChar"/>
    <w:uiPriority w:val="99"/>
    <w:unhideWhenUsed/>
    <w:rsid w:val="00AC5E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EBA"/>
  </w:style>
  <w:style w:type="paragraph" w:styleId="Footer">
    <w:name w:val="footer"/>
    <w:basedOn w:val="Normal"/>
    <w:link w:val="FooterChar"/>
    <w:uiPriority w:val="99"/>
    <w:unhideWhenUsed/>
    <w:rsid w:val="00AC5E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EBA"/>
  </w:style>
  <w:style w:type="paragraph" w:styleId="BalloonText">
    <w:name w:val="Balloon Text"/>
    <w:basedOn w:val="Normal"/>
    <w:link w:val="BalloonTextChar"/>
    <w:uiPriority w:val="99"/>
    <w:semiHidden/>
    <w:unhideWhenUsed/>
    <w:rsid w:val="00AC5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BA"/>
    <w:rPr>
      <w:rFonts w:ascii="Tahoma" w:hAnsi="Tahoma" w:cs="Tahoma"/>
      <w:sz w:val="16"/>
      <w:szCs w:val="16"/>
    </w:rPr>
  </w:style>
  <w:style w:type="paragraph" w:customStyle="1" w:styleId="Default">
    <w:name w:val="Default"/>
    <w:rsid w:val="008A348D"/>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C5E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5EBA"/>
    <w:rPr>
      <w:sz w:val="20"/>
      <w:szCs w:val="20"/>
    </w:rPr>
  </w:style>
  <w:style w:type="character" w:styleId="Hyperlink">
    <w:name w:val="Hyperlink"/>
    <w:basedOn w:val="DefaultParagraphFont"/>
    <w:uiPriority w:val="99"/>
    <w:semiHidden/>
    <w:rsid w:val="00AC5EBA"/>
    <w:rPr>
      <w:rFonts w:cs="Times New Roman"/>
      <w:color w:val="0000FF"/>
      <w:u w:val="single"/>
    </w:rPr>
  </w:style>
  <w:style w:type="character" w:styleId="FootnoteReference">
    <w:name w:val="footnote reference"/>
    <w:basedOn w:val="DefaultParagraphFont"/>
    <w:uiPriority w:val="99"/>
    <w:semiHidden/>
    <w:unhideWhenUsed/>
    <w:rsid w:val="00AC5EBA"/>
    <w:rPr>
      <w:vertAlign w:val="superscript"/>
    </w:rPr>
  </w:style>
  <w:style w:type="paragraph" w:customStyle="1" w:styleId="Heading21">
    <w:name w:val="Heading 21"/>
    <w:basedOn w:val="ListParagraph"/>
    <w:qFormat/>
    <w:rsid w:val="00AC5EBA"/>
    <w:pPr>
      <w:widowControl w:val="0"/>
      <w:numPr>
        <w:numId w:val="2"/>
      </w:numPr>
      <w:tabs>
        <w:tab w:val="num" w:pos="360"/>
      </w:tabs>
      <w:spacing w:before="360" w:after="120" w:line="240" w:lineRule="auto"/>
      <w:ind w:left="720" w:firstLine="0"/>
      <w:contextualSpacing w:val="0"/>
    </w:pPr>
    <w:rPr>
      <w:rFonts w:ascii="Arial" w:eastAsia="Calibri" w:hAnsi="Arial" w:cs="Arial"/>
      <w:b/>
      <w:szCs w:val="16"/>
      <w:lang w:eastAsia="en-US"/>
    </w:rPr>
  </w:style>
  <w:style w:type="paragraph" w:styleId="ListParagraph">
    <w:name w:val="List Paragraph"/>
    <w:basedOn w:val="Normal"/>
    <w:uiPriority w:val="34"/>
    <w:qFormat/>
    <w:rsid w:val="00AC5EBA"/>
    <w:pPr>
      <w:ind w:left="720"/>
      <w:contextualSpacing/>
    </w:pPr>
  </w:style>
  <w:style w:type="paragraph" w:styleId="Header">
    <w:name w:val="header"/>
    <w:basedOn w:val="Normal"/>
    <w:link w:val="HeaderChar"/>
    <w:uiPriority w:val="99"/>
    <w:unhideWhenUsed/>
    <w:rsid w:val="00AC5E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EBA"/>
  </w:style>
  <w:style w:type="paragraph" w:styleId="Footer">
    <w:name w:val="footer"/>
    <w:basedOn w:val="Normal"/>
    <w:link w:val="FooterChar"/>
    <w:uiPriority w:val="99"/>
    <w:unhideWhenUsed/>
    <w:rsid w:val="00AC5E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EBA"/>
  </w:style>
  <w:style w:type="paragraph" w:styleId="BalloonText">
    <w:name w:val="Balloon Text"/>
    <w:basedOn w:val="Normal"/>
    <w:link w:val="BalloonTextChar"/>
    <w:uiPriority w:val="99"/>
    <w:semiHidden/>
    <w:unhideWhenUsed/>
    <w:rsid w:val="00AC5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BA"/>
    <w:rPr>
      <w:rFonts w:ascii="Tahoma" w:hAnsi="Tahoma" w:cs="Tahoma"/>
      <w:sz w:val="16"/>
      <w:szCs w:val="16"/>
    </w:rPr>
  </w:style>
  <w:style w:type="paragraph" w:customStyle="1" w:styleId="Default">
    <w:name w:val="Default"/>
    <w:rsid w:val="008A348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df.org.eg/index.php/publications-and-statistics/regulation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070A4-EA27-4CC4-8DF1-B411795E8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1425</Words>
  <Characters>8125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9531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Houlgate, Michael  (Egypt)</dc:creator>
  <cp:lastModifiedBy>Hosny, Nesma (Egypt)</cp:lastModifiedBy>
  <cp:revision>7</cp:revision>
  <dcterms:created xsi:type="dcterms:W3CDTF">2016-05-05T14:07:00Z</dcterms:created>
  <dcterms:modified xsi:type="dcterms:W3CDTF">2016-05-08T10:17:00Z</dcterms:modified>
</cp:coreProperties>
</file>