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B0F88E" w14:textId="77777777" w:rsidR="003809D7" w:rsidRDefault="003809D7">
      <w:pPr>
        <w:spacing w:after="0" w:line="259" w:lineRule="auto"/>
        <w:ind w:left="0" w:firstLine="0"/>
        <w:rPr>
          <w:b/>
          <w:color w:val="230859"/>
          <w:sz w:val="50"/>
        </w:rPr>
      </w:pPr>
    </w:p>
    <w:p w14:paraId="31ABA976" w14:textId="48D06B4B" w:rsidR="00E86008" w:rsidRDefault="004C311F">
      <w:pPr>
        <w:spacing w:after="0" w:line="259" w:lineRule="auto"/>
        <w:ind w:left="0" w:firstLine="0"/>
      </w:pPr>
      <w:r>
        <w:rPr>
          <w:b/>
          <w:color w:val="230859"/>
          <w:sz w:val="50"/>
        </w:rPr>
        <w:t xml:space="preserve">Appendix </w:t>
      </w:r>
      <w:r w:rsidR="003C13F9">
        <w:rPr>
          <w:b/>
          <w:color w:val="230859"/>
          <w:sz w:val="50"/>
        </w:rPr>
        <w:t>2</w:t>
      </w:r>
      <w:r>
        <w:rPr>
          <w:b/>
          <w:color w:val="230859"/>
          <w:sz w:val="50"/>
        </w:rPr>
        <w:t xml:space="preserve">  </w:t>
      </w:r>
    </w:p>
    <w:p w14:paraId="546AEB37" w14:textId="77777777" w:rsidR="00C47914" w:rsidRDefault="004C311F" w:rsidP="00C47914">
      <w:pPr>
        <w:tabs>
          <w:tab w:val="center" w:pos="999"/>
        </w:tabs>
        <w:spacing w:after="879" w:line="259" w:lineRule="auto"/>
        <w:ind w:left="0" w:firstLine="0"/>
      </w:pPr>
      <w:r>
        <w:rPr>
          <w:rFonts w:ascii="Calibri" w:eastAsia="Calibri" w:hAnsi="Calibri" w:cs="Calibri"/>
          <w:noProof/>
        </w:rPr>
        <mc:AlternateContent>
          <mc:Choice Requires="wpg">
            <w:drawing>
              <wp:inline distT="0" distB="0" distL="0" distR="0" wp14:anchorId="15DAFFC0" wp14:editId="0D922585">
                <wp:extent cx="500380" cy="38100"/>
                <wp:effectExtent l="0" t="0" r="0" b="0"/>
                <wp:docPr id="3197" name="Group 3197"/>
                <wp:cNvGraphicFramePr/>
                <a:graphic xmlns:a="http://schemas.openxmlformats.org/drawingml/2006/main">
                  <a:graphicData uri="http://schemas.microsoft.com/office/word/2010/wordprocessingGroup">
                    <wpg:wgp>
                      <wpg:cNvGrpSpPr/>
                      <wpg:grpSpPr>
                        <a:xfrm>
                          <a:off x="0" y="0"/>
                          <a:ext cx="500380" cy="38100"/>
                          <a:chOff x="0" y="0"/>
                          <a:chExt cx="500380" cy="38100"/>
                        </a:xfrm>
                      </wpg:grpSpPr>
                      <wps:wsp>
                        <wps:cNvPr id="117" name="Shape 117"/>
                        <wps:cNvSpPr/>
                        <wps:spPr>
                          <a:xfrm>
                            <a:off x="0" y="0"/>
                            <a:ext cx="500380" cy="0"/>
                          </a:xfrm>
                          <a:custGeom>
                            <a:avLst/>
                            <a:gdLst/>
                            <a:ahLst/>
                            <a:cxnLst/>
                            <a:rect l="0" t="0" r="0" b="0"/>
                            <a:pathLst>
                              <a:path w="500380">
                                <a:moveTo>
                                  <a:pt x="0" y="0"/>
                                </a:moveTo>
                                <a:lnTo>
                                  <a:pt x="500380" y="0"/>
                                </a:lnTo>
                              </a:path>
                            </a:pathLst>
                          </a:custGeom>
                          <a:ln w="38100" cap="rnd">
                            <a:round/>
                          </a:ln>
                        </wps:spPr>
                        <wps:style>
                          <a:lnRef idx="1">
                            <a:srgbClr val="23085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3197" style="width:39.4pt;height:3pt;mso-position-horizontal-relative:char;mso-position-vertical-relative:line" coordsize="5003,381">
                <v:shape id="Shape 117" style="position:absolute;width:5003;height:0;left:0;top:0;" coordsize="500380,0" path="m0,0l500380,0">
                  <v:stroke weight="3pt" endcap="round" joinstyle="round" on="true" color="#230859"/>
                  <v:fill on="false" color="#000000" opacity="0"/>
                </v:shape>
              </v:group>
            </w:pict>
          </mc:Fallback>
        </mc:AlternateContent>
      </w:r>
      <w:r>
        <w:rPr>
          <w:sz w:val="24"/>
        </w:rPr>
        <w:tab/>
        <w:t xml:space="preserve"> </w:t>
      </w:r>
    </w:p>
    <w:p w14:paraId="4ED6D79E" w14:textId="21C3178B" w:rsidR="00E86008" w:rsidRDefault="004C311F" w:rsidP="00C47914">
      <w:pPr>
        <w:tabs>
          <w:tab w:val="center" w:pos="999"/>
        </w:tabs>
        <w:spacing w:after="879" w:line="259" w:lineRule="auto"/>
        <w:ind w:left="0" w:firstLine="0"/>
      </w:pPr>
      <w:r>
        <w:rPr>
          <w:b/>
          <w:color w:val="FF00C8"/>
          <w:sz w:val="102"/>
        </w:rPr>
        <w:t xml:space="preserve">Eligible and Ineligible Costs  </w:t>
      </w:r>
    </w:p>
    <w:p w14:paraId="7BFBC17A" w14:textId="77777777" w:rsidR="003C13F9" w:rsidRPr="003C13F9" w:rsidRDefault="003C13F9" w:rsidP="003C13F9">
      <w:pPr>
        <w:pStyle w:val="NormalWeb"/>
        <w:rPr>
          <w:rFonts w:ascii="Arial" w:eastAsia="Arial" w:hAnsi="Arial" w:cs="Arial"/>
          <w:b/>
          <w:bCs/>
          <w:color w:val="1F3864" w:themeColor="accent1" w:themeShade="80"/>
          <w:spacing w:val="-13"/>
          <w:sz w:val="56"/>
          <w:szCs w:val="56"/>
          <w:lang w:eastAsia="en-US"/>
        </w:rPr>
      </w:pPr>
      <w:r w:rsidRPr="003C13F9">
        <w:rPr>
          <w:rFonts w:ascii="Arial" w:eastAsia="Arial" w:hAnsi="Arial" w:cs="Arial"/>
          <w:b/>
          <w:bCs/>
          <w:color w:val="1F3864" w:themeColor="accent1" w:themeShade="80"/>
          <w:spacing w:val="-13"/>
          <w:sz w:val="56"/>
          <w:szCs w:val="56"/>
          <w:lang w:eastAsia="en-US"/>
        </w:rPr>
        <w:t xml:space="preserve">UK – Egypt HE partnerships for Climate Change </w:t>
      </w:r>
    </w:p>
    <w:p w14:paraId="4F7E5374" w14:textId="77777777" w:rsidR="00E86008" w:rsidRDefault="004C311F">
      <w:pPr>
        <w:spacing w:after="96" w:line="259" w:lineRule="auto"/>
        <w:ind w:left="0" w:firstLine="0"/>
      </w:pPr>
      <w:r>
        <w:rPr>
          <w:b/>
          <w:color w:val="230859"/>
          <w:sz w:val="36"/>
        </w:rPr>
        <w:t xml:space="preserve"> </w:t>
      </w:r>
    </w:p>
    <w:p w14:paraId="3C5462D5" w14:textId="77777777" w:rsidR="00E86008" w:rsidRDefault="004C311F">
      <w:pPr>
        <w:pStyle w:val="Heading1"/>
        <w:ind w:left="103"/>
      </w:pPr>
      <w:r>
        <w:t xml:space="preserve">ELIGIBLE COST </w:t>
      </w:r>
      <w:r>
        <w:rPr>
          <w:b w:val="0"/>
        </w:rPr>
        <w:t xml:space="preserve"> </w:t>
      </w:r>
    </w:p>
    <w:p w14:paraId="0C60491E" w14:textId="77777777" w:rsidR="00E86008" w:rsidRDefault="004C311F">
      <w:pPr>
        <w:ind w:right="61"/>
      </w:pPr>
      <w:r>
        <w:t xml:space="preserve">Please note that the following costs are </w:t>
      </w:r>
      <w:r>
        <w:rPr>
          <w:u w:val="single" w:color="000000"/>
        </w:rPr>
        <w:t>eligible</w:t>
      </w:r>
      <w:r>
        <w:t xml:space="preserve"> for funding:  </w:t>
      </w:r>
    </w:p>
    <w:p w14:paraId="64E1BF2A" w14:textId="5B06C29C" w:rsidR="00E86008" w:rsidRDefault="004C311F">
      <w:pPr>
        <w:numPr>
          <w:ilvl w:val="0"/>
          <w:numId w:val="1"/>
        </w:numPr>
        <w:ind w:right="61" w:hanging="360"/>
      </w:pPr>
      <w:r>
        <w:rPr>
          <w:noProof/>
        </w:rPr>
        <w:drawing>
          <wp:anchor distT="0" distB="0" distL="114300" distR="114300" simplePos="0" relativeHeight="251658240" behindDoc="0" locked="0" layoutInCell="1" allowOverlap="0" wp14:anchorId="3AB61EB5" wp14:editId="77C4D2DA">
            <wp:simplePos x="0" y="0"/>
            <wp:positionH relativeFrom="page">
              <wp:posOffset>540385</wp:posOffset>
            </wp:positionH>
            <wp:positionV relativeFrom="page">
              <wp:posOffset>540384</wp:posOffset>
            </wp:positionV>
            <wp:extent cx="1470279" cy="424180"/>
            <wp:effectExtent l="0" t="0" r="0" b="0"/>
            <wp:wrapTopAndBottom/>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tretch>
                      <a:fillRect/>
                    </a:stretch>
                  </pic:blipFill>
                  <pic:spPr>
                    <a:xfrm>
                      <a:off x="0" y="0"/>
                      <a:ext cx="1470279" cy="424180"/>
                    </a:xfrm>
                    <a:prstGeom prst="rect">
                      <a:avLst/>
                    </a:prstGeom>
                  </pic:spPr>
                </pic:pic>
              </a:graphicData>
            </a:graphic>
          </wp:anchor>
        </w:drawing>
      </w:r>
      <w:r>
        <w:t>Travel: Travel fares (economy class) and subsistence costs to the UK/</w:t>
      </w:r>
      <w:r w:rsidR="00C47914">
        <w:t>Egypt</w:t>
      </w:r>
      <w:r>
        <w:t xml:space="preserve">. This includes visa fees, vaccinations, quarantine costs, and medical insurance to the UK and </w:t>
      </w:r>
      <w:r w:rsidR="00C47914">
        <w:t>Egypt</w:t>
      </w:r>
      <w:r>
        <w:t xml:space="preserve">.  </w:t>
      </w:r>
    </w:p>
    <w:p w14:paraId="436FA219" w14:textId="77777777" w:rsidR="00E86008" w:rsidRDefault="004C311F">
      <w:pPr>
        <w:numPr>
          <w:ilvl w:val="0"/>
          <w:numId w:val="1"/>
        </w:numPr>
        <w:ind w:right="61" w:hanging="360"/>
      </w:pPr>
      <w:r>
        <w:t xml:space="preserve">Local travel in the UK and overseas (public transport to and from the airport and for meetings/visits is encouraged where possible).  </w:t>
      </w:r>
    </w:p>
    <w:p w14:paraId="2CAA6BE1" w14:textId="7673FD2A" w:rsidR="00E86008" w:rsidRDefault="004C311F">
      <w:pPr>
        <w:numPr>
          <w:ilvl w:val="0"/>
          <w:numId w:val="1"/>
        </w:numPr>
        <w:ind w:right="61" w:hanging="360"/>
      </w:pPr>
      <w:r>
        <w:t xml:space="preserve">Reasonable accommodation and subsistence costs for staff for visits to their partner institution in the UK or </w:t>
      </w:r>
      <w:r w:rsidR="003C13F9">
        <w:t>Egypt</w:t>
      </w:r>
      <w:r>
        <w:t xml:space="preserve"> following the British Council travel rate.  </w:t>
      </w:r>
    </w:p>
    <w:p w14:paraId="20F96591" w14:textId="77777777" w:rsidR="00E86008" w:rsidRDefault="004C311F">
      <w:pPr>
        <w:numPr>
          <w:ilvl w:val="0"/>
          <w:numId w:val="1"/>
        </w:numPr>
        <w:ind w:right="61" w:hanging="360"/>
      </w:pPr>
      <w:r>
        <w:t xml:space="preserve">Reasonable hospitality costs (not self-entertaining costs).  </w:t>
      </w:r>
    </w:p>
    <w:p w14:paraId="1ABA2273" w14:textId="77777777" w:rsidR="00E86008" w:rsidRDefault="004C311F">
      <w:pPr>
        <w:numPr>
          <w:ilvl w:val="0"/>
          <w:numId w:val="1"/>
        </w:numPr>
        <w:ind w:right="61" w:hanging="360"/>
      </w:pPr>
      <w:r>
        <w:t>Reasonable production costs (</w:t>
      </w:r>
      <w:proofErr w:type="gramStart"/>
      <w:r>
        <w:t>e.g.</w:t>
      </w:r>
      <w:proofErr w:type="gramEnd"/>
      <w:r>
        <w:t xml:space="preserve"> for the development of materials but not including the staff time relating to such development of materials).  </w:t>
      </w:r>
    </w:p>
    <w:p w14:paraId="71C86726" w14:textId="336E0C94" w:rsidR="00E86008" w:rsidRDefault="004C311F">
      <w:pPr>
        <w:numPr>
          <w:ilvl w:val="0"/>
          <w:numId w:val="1"/>
        </w:numPr>
        <w:ind w:right="61" w:hanging="360"/>
      </w:pPr>
      <w:r>
        <w:t xml:space="preserve">Consultancy fee (when procure externally and up to </w:t>
      </w:r>
      <w:r w:rsidR="003C13F9">
        <w:t>2</w:t>
      </w:r>
      <w:r>
        <w:t xml:space="preserve">0% of the total project costs).  </w:t>
      </w:r>
    </w:p>
    <w:p w14:paraId="302A00AF" w14:textId="77777777" w:rsidR="00E86008" w:rsidRDefault="004C311F">
      <w:pPr>
        <w:numPr>
          <w:ilvl w:val="0"/>
          <w:numId w:val="1"/>
        </w:numPr>
        <w:ind w:right="61" w:hanging="360"/>
      </w:pPr>
      <w:r>
        <w:t xml:space="preserve">Staff costs of temporary research and research assistant personnel, and other temporary staff recruited to work solely on the project.  </w:t>
      </w:r>
    </w:p>
    <w:p w14:paraId="5669185C" w14:textId="77777777" w:rsidR="00E86008" w:rsidRDefault="004C311F">
      <w:pPr>
        <w:numPr>
          <w:ilvl w:val="0"/>
          <w:numId w:val="1"/>
        </w:numPr>
        <w:ind w:right="61" w:hanging="360"/>
      </w:pPr>
      <w:r>
        <w:t xml:space="preserve">Essential equipment for use on the project including consumables, specialist software licenses essential to the collaboration, access fees to facilities or library services. Equipment must be essential to delivery of the project and cannot be expected to be provided by institutions.  </w:t>
      </w:r>
    </w:p>
    <w:p w14:paraId="18D852A6" w14:textId="77777777" w:rsidR="00E86008" w:rsidRDefault="004C311F">
      <w:pPr>
        <w:numPr>
          <w:ilvl w:val="0"/>
          <w:numId w:val="1"/>
        </w:numPr>
        <w:ind w:right="61" w:hanging="360"/>
      </w:pPr>
      <w:r>
        <w:t xml:space="preserve">Cost of meetings, training events, workshops, public engagement events and seminars integral to the proposal. Translation and interpreter fees. </w:t>
      </w:r>
    </w:p>
    <w:p w14:paraId="3AA45497" w14:textId="433FF713" w:rsidR="00E86008" w:rsidRDefault="004C311F" w:rsidP="003C13F9">
      <w:pPr>
        <w:numPr>
          <w:ilvl w:val="0"/>
          <w:numId w:val="1"/>
        </w:numPr>
        <w:spacing w:after="427"/>
        <w:ind w:right="61" w:hanging="360"/>
      </w:pPr>
      <w:r>
        <w:t xml:space="preserve">Publication costs directly related to the collaboration - this includes web page development </w:t>
      </w:r>
      <w:r w:rsidR="003C13F9">
        <w:t>- o</w:t>
      </w:r>
      <w:r>
        <w:t xml:space="preserve">nline platform and relevant costs for digital delivery can be included.  </w:t>
      </w:r>
    </w:p>
    <w:p w14:paraId="454A77A9" w14:textId="12D46F99" w:rsidR="00E86008" w:rsidRDefault="004C311F">
      <w:pPr>
        <w:numPr>
          <w:ilvl w:val="0"/>
          <w:numId w:val="1"/>
        </w:numPr>
        <w:ind w:right="61" w:hanging="360"/>
      </w:pPr>
      <w:r>
        <w:lastRenderedPageBreak/>
        <w:t xml:space="preserve">Monitoring and evaluation costs including final project reporting costs (if needed) and contracting external reviewer with maximum value not more than </w:t>
      </w:r>
      <w:r w:rsidR="003C13F9">
        <w:t>2</w:t>
      </w:r>
      <w:r>
        <w:t xml:space="preserve">0% of total project value.  </w:t>
      </w:r>
    </w:p>
    <w:p w14:paraId="2F3C68A2" w14:textId="77777777" w:rsidR="00C47914" w:rsidRDefault="00C47914" w:rsidP="00C47914">
      <w:pPr>
        <w:ind w:left="813" w:right="61" w:firstLine="0"/>
      </w:pPr>
    </w:p>
    <w:p w14:paraId="54DD79EA" w14:textId="77777777" w:rsidR="00E86008" w:rsidRDefault="004C311F">
      <w:pPr>
        <w:numPr>
          <w:ilvl w:val="0"/>
          <w:numId w:val="1"/>
        </w:numPr>
        <w:spacing w:after="250"/>
        <w:ind w:right="61" w:hanging="360"/>
      </w:pPr>
      <w:proofErr w:type="gramStart"/>
      <w:r>
        <w:t>All of</w:t>
      </w:r>
      <w:proofErr w:type="gramEnd"/>
      <w:r>
        <w:t xml:space="preserve"> the above activities must be directly related to the development and delivery of the agreed project. Principal Applicant will be asked to complete expenditure information and provide evidence with receipts to British Council for monitoring and auditing purposes. </w:t>
      </w:r>
    </w:p>
    <w:p w14:paraId="4F9AF8F2" w14:textId="77777777" w:rsidR="00E86008" w:rsidRDefault="004C311F">
      <w:pPr>
        <w:spacing w:after="199" w:line="259" w:lineRule="auto"/>
        <w:ind w:left="0" w:firstLine="0"/>
      </w:pPr>
      <w:r>
        <w:rPr>
          <w:sz w:val="24"/>
        </w:rPr>
        <w:t xml:space="preserve"> </w:t>
      </w:r>
    </w:p>
    <w:p w14:paraId="074D4E2F" w14:textId="77777777" w:rsidR="00E86008" w:rsidRDefault="004C311F">
      <w:pPr>
        <w:pStyle w:val="Heading1"/>
        <w:ind w:left="103"/>
      </w:pPr>
      <w:r>
        <w:t xml:space="preserve">INELIGIBLE COST </w:t>
      </w:r>
      <w:r>
        <w:rPr>
          <w:b w:val="0"/>
        </w:rPr>
        <w:t xml:space="preserve"> </w:t>
      </w:r>
    </w:p>
    <w:p w14:paraId="3BBD14A0" w14:textId="77777777" w:rsidR="00E86008" w:rsidRDefault="004C311F">
      <w:pPr>
        <w:ind w:right="61"/>
      </w:pPr>
      <w:r>
        <w:t xml:space="preserve">The following costs are </w:t>
      </w:r>
      <w:r>
        <w:rPr>
          <w:u w:val="single" w:color="000000"/>
        </w:rPr>
        <w:t>ineligible</w:t>
      </w:r>
      <w:r>
        <w:t xml:space="preserve"> for funding:  </w:t>
      </w:r>
    </w:p>
    <w:p w14:paraId="5FCD16C3" w14:textId="77777777" w:rsidR="00E86008" w:rsidRDefault="004C311F">
      <w:pPr>
        <w:numPr>
          <w:ilvl w:val="0"/>
          <w:numId w:val="2"/>
        </w:numPr>
        <w:ind w:right="61" w:hanging="360"/>
      </w:pPr>
      <w:r>
        <w:t xml:space="preserve">Participating institutions’ staff costs. The funds are not intended to contribute towards the direct costs of full-time staff time associated with the project.  </w:t>
      </w:r>
    </w:p>
    <w:p w14:paraId="59EF3278" w14:textId="77777777" w:rsidR="00E86008" w:rsidRDefault="004C311F">
      <w:pPr>
        <w:numPr>
          <w:ilvl w:val="0"/>
          <w:numId w:val="2"/>
        </w:numPr>
        <w:ind w:right="61" w:hanging="360"/>
      </w:pPr>
      <w:r>
        <w:t xml:space="preserve">Promotional activities which are solely concerned with the recruitment of overseas students.  </w:t>
      </w:r>
    </w:p>
    <w:p w14:paraId="48701A8E" w14:textId="77777777" w:rsidR="00E86008" w:rsidRDefault="004C311F">
      <w:pPr>
        <w:numPr>
          <w:ilvl w:val="0"/>
          <w:numId w:val="2"/>
        </w:numPr>
        <w:ind w:right="61" w:hanging="360"/>
      </w:pPr>
      <w:r>
        <w:t xml:space="preserve">Institutional overheads including administration fees and other indirect costs.  </w:t>
      </w:r>
    </w:p>
    <w:p w14:paraId="0FB7A82F" w14:textId="77777777" w:rsidR="00E86008" w:rsidRDefault="004C311F">
      <w:pPr>
        <w:numPr>
          <w:ilvl w:val="0"/>
          <w:numId w:val="2"/>
        </w:numPr>
        <w:ind w:right="61" w:hanging="360"/>
      </w:pPr>
      <w:r>
        <w:t xml:space="preserve">Costs associated with </w:t>
      </w:r>
      <w:proofErr w:type="gramStart"/>
      <w:r>
        <w:t>Master’s</w:t>
      </w:r>
      <w:proofErr w:type="gramEnd"/>
      <w:r>
        <w:t xml:space="preserve"> and PhD studentships are not eligible under this call (including stipends). </w:t>
      </w:r>
    </w:p>
    <w:p w14:paraId="13BBCA73" w14:textId="77777777" w:rsidR="00E86008" w:rsidRDefault="004C311F">
      <w:pPr>
        <w:numPr>
          <w:ilvl w:val="0"/>
          <w:numId w:val="2"/>
        </w:numPr>
        <w:ind w:right="61" w:hanging="360"/>
      </w:pPr>
      <w:r>
        <w:t xml:space="preserve">Purchase or rental of standard office equipment. This includes IT hardware – laptops, personal computers, tablets, smart phones, Mac workstations, computer parts and peripherals, etc. Any standard hardware which would routinely be used by researchers and academics will not be funded. </w:t>
      </w:r>
    </w:p>
    <w:p w14:paraId="26525A2C" w14:textId="77777777" w:rsidR="00E86008" w:rsidRDefault="004C311F">
      <w:pPr>
        <w:numPr>
          <w:ilvl w:val="0"/>
          <w:numId w:val="2"/>
        </w:numPr>
        <w:ind w:right="61" w:hanging="360"/>
      </w:pPr>
      <w:r>
        <w:t xml:space="preserve">Office software and office equipment including desks, chairs, filing cabinets, photocopiers, printers, fax machines.  </w:t>
      </w:r>
    </w:p>
    <w:p w14:paraId="405A0CE5" w14:textId="77777777" w:rsidR="00E86008" w:rsidRDefault="004C311F">
      <w:pPr>
        <w:numPr>
          <w:ilvl w:val="0"/>
          <w:numId w:val="2"/>
        </w:numPr>
        <w:ind w:right="61" w:hanging="36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54D9F1E0" wp14:editId="482101CE">
                <wp:simplePos x="0" y="0"/>
                <wp:positionH relativeFrom="page">
                  <wp:posOffset>576580</wp:posOffset>
                </wp:positionH>
                <wp:positionV relativeFrom="page">
                  <wp:posOffset>579755</wp:posOffset>
                </wp:positionV>
                <wp:extent cx="489585" cy="38100"/>
                <wp:effectExtent l="0" t="0" r="0" b="0"/>
                <wp:wrapTopAndBottom/>
                <wp:docPr id="3452" name="Group 3452"/>
                <wp:cNvGraphicFramePr/>
                <a:graphic xmlns:a="http://schemas.openxmlformats.org/drawingml/2006/main">
                  <a:graphicData uri="http://schemas.microsoft.com/office/word/2010/wordprocessingGroup">
                    <wpg:wgp>
                      <wpg:cNvGrpSpPr/>
                      <wpg:grpSpPr>
                        <a:xfrm>
                          <a:off x="0" y="0"/>
                          <a:ext cx="489585" cy="38100"/>
                          <a:chOff x="0" y="0"/>
                          <a:chExt cx="489585" cy="38100"/>
                        </a:xfrm>
                      </wpg:grpSpPr>
                      <wps:wsp>
                        <wps:cNvPr id="124" name="Shape 124"/>
                        <wps:cNvSpPr/>
                        <wps:spPr>
                          <a:xfrm>
                            <a:off x="0" y="0"/>
                            <a:ext cx="489585" cy="0"/>
                          </a:xfrm>
                          <a:custGeom>
                            <a:avLst/>
                            <a:gdLst/>
                            <a:ahLst/>
                            <a:cxnLst/>
                            <a:rect l="0" t="0" r="0" b="0"/>
                            <a:pathLst>
                              <a:path w="489585">
                                <a:moveTo>
                                  <a:pt x="0" y="0"/>
                                </a:moveTo>
                                <a:lnTo>
                                  <a:pt x="489585" y="0"/>
                                </a:lnTo>
                              </a:path>
                            </a:pathLst>
                          </a:custGeom>
                          <a:ln w="38100" cap="rnd">
                            <a:round/>
                          </a:ln>
                        </wps:spPr>
                        <wps:style>
                          <a:lnRef idx="1">
                            <a:srgbClr val="FF00C8"/>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452" style="width:38.55pt;height:3pt;position:absolute;mso-position-horizontal-relative:page;mso-position-horizontal:absolute;margin-left:45.4pt;mso-position-vertical-relative:page;margin-top:45.65pt;" coordsize="4895,381">
                <v:shape id="Shape 124" style="position:absolute;width:4895;height:0;left:0;top:0;" coordsize="489585,0" path="m0,0l489585,0">
                  <v:stroke weight="3pt" endcap="round" joinstyle="round" on="true" color="#ff00c8"/>
                  <v:fill on="false" color="#000000" opacity="0"/>
                </v:shape>
                <w10:wrap type="topAndBottom"/>
              </v:group>
            </w:pict>
          </mc:Fallback>
        </mc:AlternateContent>
      </w:r>
      <w:r>
        <w:t xml:space="preserve">Mobile phone costs including rental or purchase, and monthly phone bills.  </w:t>
      </w:r>
    </w:p>
    <w:p w14:paraId="59AD8EE6" w14:textId="77777777" w:rsidR="00E86008" w:rsidRDefault="004C311F">
      <w:pPr>
        <w:numPr>
          <w:ilvl w:val="0"/>
          <w:numId w:val="2"/>
        </w:numPr>
        <w:ind w:right="61" w:hanging="360"/>
      </w:pPr>
      <w:r>
        <w:t xml:space="preserve">Exchange rate costs/loss and other banking related costs.  </w:t>
      </w:r>
    </w:p>
    <w:p w14:paraId="724FE1FF" w14:textId="77777777" w:rsidR="00E86008" w:rsidRDefault="004C311F">
      <w:pPr>
        <w:numPr>
          <w:ilvl w:val="0"/>
          <w:numId w:val="2"/>
        </w:numPr>
        <w:ind w:right="61" w:hanging="360"/>
      </w:pPr>
      <w:r>
        <w:t xml:space="preserve">IP costs, Patents, copyright, </w:t>
      </w:r>
      <w:proofErr w:type="gramStart"/>
      <w:r>
        <w:t>licensing</w:t>
      </w:r>
      <w:proofErr w:type="gramEnd"/>
      <w:r>
        <w:t xml:space="preserve"> or other IP-related costs.  </w:t>
      </w:r>
    </w:p>
    <w:p w14:paraId="7D9DE8AC" w14:textId="77777777" w:rsidR="00E86008" w:rsidRDefault="004C311F">
      <w:pPr>
        <w:numPr>
          <w:ilvl w:val="0"/>
          <w:numId w:val="2"/>
        </w:numPr>
        <w:ind w:right="61" w:hanging="360"/>
      </w:pPr>
      <w:r>
        <w:t>Costs relating to the construction, procurement or rental of physical infrastructure, (</w:t>
      </w:r>
      <w:proofErr w:type="gramStart"/>
      <w:r>
        <w:t>e.g.</w:t>
      </w:r>
      <w:proofErr w:type="gramEnd"/>
      <w:r>
        <w:t xml:space="preserve"> office buildings, laboratory facilities). It is expected that rooms and facilities essential for the routine operation of collaboration are provided as an in-kind contribution by the participating institutions. These can be detailed as an in-kind contribution in the budget breakdown. </w:t>
      </w:r>
    </w:p>
    <w:p w14:paraId="2DF40433" w14:textId="77777777" w:rsidR="00E86008" w:rsidRDefault="004C311F">
      <w:pPr>
        <w:numPr>
          <w:ilvl w:val="0"/>
          <w:numId w:val="2"/>
        </w:numPr>
        <w:spacing w:after="0" w:line="272" w:lineRule="auto"/>
        <w:ind w:right="61" w:hanging="360"/>
      </w:pPr>
      <w:r>
        <w:t xml:space="preserve">Entertainment costs such as: gifts; alcohol; restaurant bills or hospitality costs for personnel not directly participating in the project; excessive restaurant costs; excessive taxi fares. </w:t>
      </w:r>
    </w:p>
    <w:p w14:paraId="0551D9CB" w14:textId="77777777" w:rsidR="00E86008" w:rsidRDefault="004C311F">
      <w:pPr>
        <w:numPr>
          <w:ilvl w:val="0"/>
          <w:numId w:val="2"/>
        </w:numPr>
        <w:ind w:right="61" w:hanging="360"/>
      </w:pPr>
      <w:r>
        <w:t xml:space="preserve">No profit or fees to be charged during the period of this grant funding.  </w:t>
      </w:r>
    </w:p>
    <w:p w14:paraId="301CFC3E" w14:textId="77777777" w:rsidR="00E86008" w:rsidRDefault="004C311F">
      <w:pPr>
        <w:spacing w:after="115" w:line="259" w:lineRule="auto"/>
        <w:ind w:left="108" w:firstLine="0"/>
      </w:pPr>
      <w:r>
        <w:t xml:space="preserve"> </w:t>
      </w:r>
    </w:p>
    <w:p w14:paraId="6305928A" w14:textId="2045484D" w:rsidR="00E86008" w:rsidRDefault="004C311F">
      <w:pPr>
        <w:spacing w:after="199" w:line="259" w:lineRule="auto"/>
        <w:ind w:left="0" w:firstLine="0"/>
        <w:rPr>
          <w:sz w:val="24"/>
        </w:rPr>
      </w:pPr>
      <w:r>
        <w:rPr>
          <w:sz w:val="24"/>
        </w:rPr>
        <w:t xml:space="preserve"> </w:t>
      </w:r>
    </w:p>
    <w:p w14:paraId="1CF38645" w14:textId="4572C5CE" w:rsidR="00A25CCE" w:rsidRDefault="00A25CCE">
      <w:pPr>
        <w:spacing w:after="199" w:line="259" w:lineRule="auto"/>
        <w:ind w:left="0" w:firstLine="0"/>
        <w:rPr>
          <w:sz w:val="24"/>
        </w:rPr>
      </w:pPr>
    </w:p>
    <w:p w14:paraId="5F1B4747" w14:textId="348A47A9" w:rsidR="00A25CCE" w:rsidRDefault="00A25CCE">
      <w:pPr>
        <w:spacing w:after="199" w:line="259" w:lineRule="auto"/>
        <w:ind w:left="0" w:firstLine="0"/>
        <w:rPr>
          <w:sz w:val="24"/>
        </w:rPr>
      </w:pPr>
    </w:p>
    <w:p w14:paraId="37EBE235" w14:textId="6F51CD7D" w:rsidR="00A25CCE" w:rsidRDefault="00A25CCE">
      <w:pPr>
        <w:spacing w:after="199" w:line="259" w:lineRule="auto"/>
        <w:ind w:left="0" w:firstLine="0"/>
        <w:rPr>
          <w:sz w:val="24"/>
        </w:rPr>
      </w:pPr>
    </w:p>
    <w:p w14:paraId="30452421" w14:textId="6787D93B" w:rsidR="00A25CCE" w:rsidRDefault="00A25CCE">
      <w:pPr>
        <w:spacing w:after="199" w:line="259" w:lineRule="auto"/>
        <w:ind w:left="0" w:firstLine="0"/>
        <w:rPr>
          <w:sz w:val="24"/>
        </w:rPr>
      </w:pPr>
    </w:p>
    <w:p w14:paraId="61A5A511" w14:textId="2ABA67F3" w:rsidR="00A25CCE" w:rsidRDefault="00A25CCE">
      <w:pPr>
        <w:spacing w:after="199" w:line="259" w:lineRule="auto"/>
        <w:ind w:left="0" w:firstLine="0"/>
        <w:rPr>
          <w:sz w:val="24"/>
        </w:rPr>
      </w:pPr>
    </w:p>
    <w:p w14:paraId="4C32A8E6" w14:textId="4E864E4E" w:rsidR="00A25CCE" w:rsidRDefault="00A25CCE">
      <w:pPr>
        <w:spacing w:after="199" w:line="259" w:lineRule="auto"/>
        <w:ind w:left="0" w:firstLine="0"/>
        <w:rPr>
          <w:sz w:val="24"/>
        </w:rPr>
      </w:pPr>
    </w:p>
    <w:p w14:paraId="1176DC82" w14:textId="17F6165C" w:rsidR="00A25CCE" w:rsidRDefault="00A25CCE">
      <w:pPr>
        <w:spacing w:after="199" w:line="259" w:lineRule="auto"/>
        <w:ind w:left="0" w:firstLine="0"/>
        <w:rPr>
          <w:sz w:val="24"/>
        </w:rPr>
      </w:pPr>
    </w:p>
    <w:p w14:paraId="56C48490" w14:textId="4C1E6A8B" w:rsidR="00A25CCE" w:rsidRDefault="00A25CCE">
      <w:pPr>
        <w:spacing w:after="199" w:line="259" w:lineRule="auto"/>
        <w:ind w:left="0" w:firstLine="0"/>
        <w:rPr>
          <w:sz w:val="24"/>
        </w:rPr>
      </w:pPr>
    </w:p>
    <w:p w14:paraId="45EA355B" w14:textId="77777777" w:rsidR="00A25CCE" w:rsidRDefault="00A25CCE">
      <w:pPr>
        <w:spacing w:after="199" w:line="259" w:lineRule="auto"/>
        <w:ind w:left="0" w:firstLine="0"/>
      </w:pPr>
    </w:p>
    <w:p w14:paraId="67D3A4ED" w14:textId="3E2FD2CC" w:rsidR="00E86008" w:rsidRDefault="004C311F">
      <w:pPr>
        <w:pStyle w:val="Heading1"/>
        <w:ind w:left="103"/>
      </w:pPr>
      <w:r>
        <w:t xml:space="preserve">TRAVEL RATE (AS OF </w:t>
      </w:r>
      <w:r w:rsidR="00A25CCE">
        <w:t>November</w:t>
      </w:r>
      <w:r>
        <w:t xml:space="preserve"> 2021)  </w:t>
      </w:r>
      <w:r>
        <w:rPr>
          <w:b w:val="0"/>
        </w:rPr>
        <w:t xml:space="preserve"> </w:t>
      </w:r>
    </w:p>
    <w:p w14:paraId="3D6B0E69" w14:textId="77777777" w:rsidR="00E86008" w:rsidRDefault="004C311F">
      <w:pPr>
        <w:ind w:right="61"/>
      </w:pPr>
      <w:r>
        <w:t xml:space="preserve">Below are costs that are allowed for travel to/in the </w:t>
      </w:r>
      <w:r>
        <w:rPr>
          <w:b/>
        </w:rPr>
        <w:t>UK</w:t>
      </w:r>
      <w:r>
        <w:t xml:space="preserve">:  </w:t>
      </w:r>
    </w:p>
    <w:p w14:paraId="4F14A4B7" w14:textId="77777777" w:rsidR="00E86008" w:rsidRDefault="004C311F">
      <w:pPr>
        <w:numPr>
          <w:ilvl w:val="0"/>
          <w:numId w:val="3"/>
        </w:numPr>
        <w:spacing w:after="0" w:line="259" w:lineRule="auto"/>
        <w:ind w:hanging="360"/>
      </w:pPr>
      <w:r>
        <w:rPr>
          <w:b/>
        </w:rPr>
        <w:t>Meals rates</w:t>
      </w:r>
      <w:r>
        <w:t xml:space="preserve">:  </w:t>
      </w:r>
    </w:p>
    <w:p w14:paraId="65FFE0C3" w14:textId="3E5E664E" w:rsidR="00E86008" w:rsidRDefault="004C311F" w:rsidP="00A25CCE">
      <w:pPr>
        <w:pStyle w:val="ListParagraph"/>
        <w:numPr>
          <w:ilvl w:val="0"/>
          <w:numId w:val="5"/>
        </w:numPr>
        <w:ind w:right="61"/>
      </w:pPr>
      <w:r>
        <w:t xml:space="preserve">Breakfast (if applicable): £5 </w:t>
      </w:r>
    </w:p>
    <w:p w14:paraId="245E8257" w14:textId="77777777" w:rsidR="00E86008" w:rsidRDefault="004C311F">
      <w:pPr>
        <w:numPr>
          <w:ilvl w:val="2"/>
          <w:numId w:val="3"/>
        </w:numPr>
        <w:ind w:right="61" w:hanging="269"/>
      </w:pPr>
      <w:r>
        <w:t xml:space="preserve">If travelling before 6.30 am or if breakfast is not provided at the hotel </w:t>
      </w:r>
    </w:p>
    <w:p w14:paraId="58BB13DA" w14:textId="69AD42D6" w:rsidR="00E86008" w:rsidRDefault="004C311F" w:rsidP="00A25CCE">
      <w:pPr>
        <w:pStyle w:val="ListParagraph"/>
        <w:numPr>
          <w:ilvl w:val="0"/>
          <w:numId w:val="5"/>
        </w:numPr>
        <w:ind w:right="61"/>
      </w:pPr>
      <w:r>
        <w:t xml:space="preserve">Lunch (if applicable): £8 </w:t>
      </w:r>
    </w:p>
    <w:p w14:paraId="1BF580A4" w14:textId="77777777" w:rsidR="00E86008" w:rsidRDefault="004C311F">
      <w:pPr>
        <w:numPr>
          <w:ilvl w:val="2"/>
          <w:numId w:val="3"/>
        </w:numPr>
        <w:ind w:right="61" w:hanging="269"/>
      </w:pPr>
      <w:r>
        <w:t xml:space="preserve">There is no provision for claiming lunch on day trips  </w:t>
      </w:r>
    </w:p>
    <w:p w14:paraId="3454E361" w14:textId="5BC58B43" w:rsidR="00E86008" w:rsidRDefault="004C311F" w:rsidP="00A25CCE">
      <w:pPr>
        <w:pStyle w:val="ListParagraph"/>
        <w:numPr>
          <w:ilvl w:val="0"/>
          <w:numId w:val="5"/>
        </w:numPr>
        <w:spacing w:after="558"/>
        <w:ind w:right="61"/>
      </w:pPr>
      <w:r>
        <w:t xml:space="preserve">Dinner (if applicable): £30 </w:t>
      </w:r>
      <w:r w:rsidRPr="00A25CCE">
        <w:rPr>
          <w:rFonts w:ascii="Wingdings" w:eastAsia="Wingdings" w:hAnsi="Wingdings" w:cs="Wingdings"/>
        </w:rPr>
        <w:t>▪</w:t>
      </w:r>
      <w:r>
        <w:t xml:space="preserve"> If staying overnight  </w:t>
      </w:r>
    </w:p>
    <w:p w14:paraId="20C4878A" w14:textId="3A366A59" w:rsidR="00E86008" w:rsidRDefault="004C311F" w:rsidP="00BF3742">
      <w:pPr>
        <w:pStyle w:val="ListParagraph"/>
        <w:spacing w:after="144"/>
        <w:ind w:left="1560" w:right="61" w:firstLine="0"/>
      </w:pPr>
      <w:r>
        <w:t xml:space="preserve">Please note you will be reimbursed to the amount you have </w:t>
      </w:r>
      <w:proofErr w:type="gramStart"/>
      <w:r>
        <w:t>actually spent</w:t>
      </w:r>
      <w:proofErr w:type="gramEnd"/>
      <w:r>
        <w:t xml:space="preserve"> (receipts must be provided)  </w:t>
      </w:r>
    </w:p>
    <w:p w14:paraId="2E907B85" w14:textId="77777777" w:rsidR="00E86008" w:rsidRDefault="004C311F">
      <w:pPr>
        <w:numPr>
          <w:ilvl w:val="0"/>
          <w:numId w:val="3"/>
        </w:numPr>
        <w:spacing w:after="0" w:line="259" w:lineRule="auto"/>
        <w:ind w:hanging="360"/>
      </w:pPr>
      <w:r>
        <w:rPr>
          <w:b/>
        </w:rPr>
        <w:t>Accommodation rates guidance by city</w:t>
      </w:r>
      <w:r>
        <w:t xml:space="preserve">:  </w:t>
      </w:r>
    </w:p>
    <w:p w14:paraId="77DF749B" w14:textId="5D151764" w:rsidR="00E86008" w:rsidRDefault="00BF3742" w:rsidP="00BF3742">
      <w:pPr>
        <w:pStyle w:val="ListParagraph"/>
        <w:numPr>
          <w:ilvl w:val="0"/>
          <w:numId w:val="6"/>
        </w:numPr>
        <w:ind w:right="61"/>
      </w:pPr>
      <w:r>
        <w:t xml:space="preserve"> </w:t>
      </w:r>
      <w:r w:rsidR="004C311F">
        <w:t xml:space="preserve">Edinburgh: £80 – £90   </w:t>
      </w:r>
    </w:p>
    <w:p w14:paraId="52894F99" w14:textId="6057BC5B" w:rsidR="00E86008" w:rsidRDefault="004C311F" w:rsidP="00BF3742">
      <w:pPr>
        <w:pStyle w:val="ListParagraph"/>
        <w:numPr>
          <w:ilvl w:val="0"/>
          <w:numId w:val="6"/>
        </w:numPr>
        <w:ind w:right="61"/>
      </w:pPr>
      <w:r>
        <w:t xml:space="preserve">London: max £150  </w:t>
      </w:r>
    </w:p>
    <w:p w14:paraId="78BF92FF" w14:textId="26420052" w:rsidR="00E86008" w:rsidRDefault="00BF3742" w:rsidP="00BF3742">
      <w:pPr>
        <w:pStyle w:val="ListParagraph"/>
        <w:numPr>
          <w:ilvl w:val="0"/>
          <w:numId w:val="6"/>
        </w:numPr>
        <w:ind w:right="61"/>
      </w:pPr>
      <w:r>
        <w:t xml:space="preserve"> </w:t>
      </w:r>
      <w:r w:rsidR="004C311F">
        <w:t xml:space="preserve">Manchester: £70 – £80  </w:t>
      </w:r>
    </w:p>
    <w:p w14:paraId="6877287C" w14:textId="0CB8DBA6" w:rsidR="00E86008" w:rsidRDefault="004C311F" w:rsidP="00BF3742">
      <w:pPr>
        <w:pStyle w:val="ListParagraph"/>
        <w:numPr>
          <w:ilvl w:val="0"/>
          <w:numId w:val="6"/>
        </w:numPr>
        <w:spacing w:after="359"/>
        <w:ind w:right="61"/>
      </w:pPr>
      <w:r>
        <w:t xml:space="preserve">Elsewhere: £60 – £80  </w:t>
      </w:r>
    </w:p>
    <w:p w14:paraId="3E5913F5" w14:textId="32127220" w:rsidR="00E86008" w:rsidRDefault="004C311F">
      <w:pPr>
        <w:ind w:right="61"/>
      </w:pPr>
      <w:r>
        <w:t xml:space="preserve">Below are costs that are allowed for travel to/in </w:t>
      </w:r>
      <w:r w:rsidR="00C47914">
        <w:rPr>
          <w:b/>
        </w:rPr>
        <w:t>Egypt</w:t>
      </w:r>
      <w:r>
        <w:t xml:space="preserve">:   </w:t>
      </w:r>
    </w:p>
    <w:p w14:paraId="7A5F81F4" w14:textId="77777777" w:rsidR="00E86008" w:rsidRDefault="004C311F">
      <w:pPr>
        <w:numPr>
          <w:ilvl w:val="0"/>
          <w:numId w:val="3"/>
        </w:numPr>
        <w:spacing w:after="0" w:line="259" w:lineRule="auto"/>
        <w:ind w:hanging="360"/>
      </w:pPr>
      <w:r>
        <w:rPr>
          <w:b/>
        </w:rPr>
        <w:t>Meals rates</w:t>
      </w:r>
      <w:r>
        <w:t xml:space="preserve">:  </w:t>
      </w:r>
    </w:p>
    <w:p w14:paraId="3D0979AF" w14:textId="03C6C280" w:rsidR="00E86008" w:rsidRDefault="004C311F" w:rsidP="00BF3742">
      <w:pPr>
        <w:pStyle w:val="ListParagraph"/>
        <w:numPr>
          <w:ilvl w:val="0"/>
          <w:numId w:val="7"/>
        </w:numPr>
        <w:ind w:right="61"/>
      </w:pPr>
      <w:r>
        <w:t xml:space="preserve">Breakfast (if applicable): </w:t>
      </w:r>
      <w:r w:rsidR="00BF3742">
        <w:t>50 EGP</w:t>
      </w:r>
    </w:p>
    <w:p w14:paraId="05950AC0" w14:textId="77777777" w:rsidR="00E86008" w:rsidRDefault="004C311F">
      <w:pPr>
        <w:numPr>
          <w:ilvl w:val="2"/>
          <w:numId w:val="3"/>
        </w:numPr>
        <w:ind w:right="61" w:hanging="269"/>
      </w:pPr>
      <w:r>
        <w:t xml:space="preserve">Reimbursable only if it is not included in hotel room rate; or if you check out the hotel before 6.30 am to catch a flight.  </w:t>
      </w:r>
    </w:p>
    <w:p w14:paraId="41CA209F" w14:textId="7E7559CE" w:rsidR="00E86008" w:rsidRDefault="004C311F" w:rsidP="00BF3742">
      <w:pPr>
        <w:pStyle w:val="ListParagraph"/>
        <w:numPr>
          <w:ilvl w:val="0"/>
          <w:numId w:val="7"/>
        </w:numPr>
        <w:ind w:right="61"/>
      </w:pPr>
      <w:r>
        <w:t xml:space="preserve">Lunch (if applicable):  </w:t>
      </w:r>
      <w:r w:rsidR="00BF3742">
        <w:t>200 EGP</w:t>
      </w:r>
    </w:p>
    <w:p w14:paraId="0252486F" w14:textId="7E473389" w:rsidR="00E86008" w:rsidRDefault="004C311F" w:rsidP="00BF3742">
      <w:pPr>
        <w:numPr>
          <w:ilvl w:val="0"/>
          <w:numId w:val="7"/>
        </w:numPr>
        <w:spacing w:after="0" w:line="277" w:lineRule="auto"/>
        <w:ind w:right="61"/>
      </w:pPr>
      <w:r>
        <w:t xml:space="preserve">Dinner (if applicable):  </w:t>
      </w:r>
      <w:r w:rsidR="00BF3742">
        <w:t>200 EGP</w:t>
      </w:r>
    </w:p>
    <w:p w14:paraId="0C9111D3" w14:textId="77777777" w:rsidR="00BF3742" w:rsidRDefault="00BF3742" w:rsidP="00BF3742">
      <w:pPr>
        <w:spacing w:after="0" w:line="277" w:lineRule="auto"/>
        <w:ind w:left="1545" w:right="61" w:firstLine="0"/>
      </w:pPr>
    </w:p>
    <w:p w14:paraId="1AA9A256" w14:textId="77777777" w:rsidR="00E86008" w:rsidRDefault="004C311F">
      <w:pPr>
        <w:numPr>
          <w:ilvl w:val="0"/>
          <w:numId w:val="3"/>
        </w:numPr>
        <w:spacing w:after="0" w:line="259" w:lineRule="auto"/>
        <w:ind w:hanging="360"/>
      </w:pPr>
      <w:r>
        <w:rPr>
          <w:b/>
        </w:rPr>
        <w:t>Accommodation rates guidance</w:t>
      </w:r>
      <w:r>
        <w:t xml:space="preserve">:  </w:t>
      </w:r>
    </w:p>
    <w:p w14:paraId="78C5889E" w14:textId="42873259" w:rsidR="00E86008" w:rsidRDefault="00BF3742" w:rsidP="00BF3742">
      <w:pPr>
        <w:pStyle w:val="ListParagraph"/>
        <w:numPr>
          <w:ilvl w:val="0"/>
          <w:numId w:val="8"/>
        </w:numPr>
        <w:spacing w:after="254"/>
        <w:ind w:right="61"/>
      </w:pPr>
      <w:r w:rsidRPr="00BF3742">
        <w:t>All hotel bookings must be booked through your local travel management company and you are expected to book the cheapest option, unless there is restricted disabled access in which case you would book the best total option.</w:t>
      </w:r>
      <w:r w:rsidR="004C311F">
        <w:t xml:space="preserve"> </w:t>
      </w:r>
    </w:p>
    <w:p w14:paraId="19A65593" w14:textId="20C14C3E" w:rsidR="00C47914" w:rsidRDefault="00C47914" w:rsidP="00C47914">
      <w:pPr>
        <w:spacing w:after="254"/>
        <w:ind w:right="61"/>
      </w:pPr>
    </w:p>
    <w:p w14:paraId="5B280F6C" w14:textId="77777777" w:rsidR="00C47914" w:rsidRDefault="003809D7" w:rsidP="00C47914">
      <w:pPr>
        <w:ind w:left="813" w:right="61" w:firstLine="0"/>
      </w:pPr>
      <w:hyperlink r:id="rId8" w:history="1">
        <w:r w:rsidR="00C47914" w:rsidRPr="003377A3">
          <w:rPr>
            <w:rStyle w:val="Hyperlink"/>
          </w:rPr>
          <w:t>www.britishcouncil.org</w:t>
        </w:r>
      </w:hyperlink>
    </w:p>
    <w:p w14:paraId="3296B845" w14:textId="77777777" w:rsidR="00C47914" w:rsidRDefault="00C47914" w:rsidP="00C47914">
      <w:pPr>
        <w:spacing w:after="254"/>
        <w:ind w:right="61"/>
      </w:pPr>
    </w:p>
    <w:p w14:paraId="0817D88B" w14:textId="3D5A86D6" w:rsidR="00E86008" w:rsidRDefault="004C311F" w:rsidP="00A25CCE">
      <w:pPr>
        <w:spacing w:after="6857" w:line="259" w:lineRule="auto"/>
        <w:ind w:left="0"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354F1719" wp14:editId="3635FD10">
                <wp:simplePos x="0" y="0"/>
                <wp:positionH relativeFrom="page">
                  <wp:posOffset>576580</wp:posOffset>
                </wp:positionH>
                <wp:positionV relativeFrom="page">
                  <wp:posOffset>579755</wp:posOffset>
                </wp:positionV>
                <wp:extent cx="489585" cy="38100"/>
                <wp:effectExtent l="0" t="0" r="0" b="0"/>
                <wp:wrapTopAndBottom/>
                <wp:docPr id="3115" name="Group 3115"/>
                <wp:cNvGraphicFramePr/>
                <a:graphic xmlns:a="http://schemas.openxmlformats.org/drawingml/2006/main">
                  <a:graphicData uri="http://schemas.microsoft.com/office/word/2010/wordprocessingGroup">
                    <wpg:wgp>
                      <wpg:cNvGrpSpPr/>
                      <wpg:grpSpPr>
                        <a:xfrm>
                          <a:off x="0" y="0"/>
                          <a:ext cx="489585" cy="38100"/>
                          <a:chOff x="0" y="0"/>
                          <a:chExt cx="489585" cy="38100"/>
                        </a:xfrm>
                      </wpg:grpSpPr>
                      <wps:wsp>
                        <wps:cNvPr id="337" name="Shape 337"/>
                        <wps:cNvSpPr/>
                        <wps:spPr>
                          <a:xfrm>
                            <a:off x="0" y="0"/>
                            <a:ext cx="489585" cy="0"/>
                          </a:xfrm>
                          <a:custGeom>
                            <a:avLst/>
                            <a:gdLst/>
                            <a:ahLst/>
                            <a:cxnLst/>
                            <a:rect l="0" t="0" r="0" b="0"/>
                            <a:pathLst>
                              <a:path w="489585">
                                <a:moveTo>
                                  <a:pt x="0" y="0"/>
                                </a:moveTo>
                                <a:lnTo>
                                  <a:pt x="489585" y="0"/>
                                </a:lnTo>
                              </a:path>
                            </a:pathLst>
                          </a:custGeom>
                          <a:ln w="38100" cap="rnd">
                            <a:round/>
                          </a:ln>
                        </wps:spPr>
                        <wps:style>
                          <a:lnRef idx="1">
                            <a:srgbClr val="FF00C8"/>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115" style="width:38.55pt;height:3pt;position:absolute;mso-position-horizontal-relative:page;mso-position-horizontal:absolute;margin-left:45.4pt;mso-position-vertical-relative:page;margin-top:45.65pt;" coordsize="4895,381">
                <v:shape id="Shape 337" style="position:absolute;width:4895;height:0;left:0;top:0;" coordsize="489585,0" path="m0,0l489585,0">
                  <v:stroke weight="3pt" endcap="round" joinstyle="round" on="true" color="#ff00c8"/>
                  <v:fill on="false" color="#000000" opacity="0"/>
                </v:shape>
                <w10:wrap type="topAndBottom"/>
              </v:group>
            </w:pict>
          </mc:Fallback>
        </mc:AlternateContent>
      </w:r>
      <w:r>
        <w:rPr>
          <w:sz w:val="24"/>
        </w:rPr>
        <w:t xml:space="preserve"> </w:t>
      </w:r>
    </w:p>
    <w:sectPr w:rsidR="00E86008">
      <w:pgSz w:w="11899" w:h="16841"/>
      <w:pgMar w:top="1534" w:right="1055" w:bottom="798" w:left="8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CDAF95" w14:textId="77777777" w:rsidR="004E6061" w:rsidRDefault="004E6061" w:rsidP="004C311F">
      <w:pPr>
        <w:spacing w:after="0" w:line="240" w:lineRule="auto"/>
      </w:pPr>
      <w:r>
        <w:separator/>
      </w:r>
    </w:p>
  </w:endnote>
  <w:endnote w:type="continuationSeparator" w:id="0">
    <w:p w14:paraId="408942B2" w14:textId="77777777" w:rsidR="004E6061" w:rsidRDefault="004E6061" w:rsidP="004C3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498384" w14:textId="77777777" w:rsidR="004E6061" w:rsidRDefault="004E6061" w:rsidP="004C311F">
      <w:pPr>
        <w:spacing w:after="0" w:line="240" w:lineRule="auto"/>
      </w:pPr>
      <w:r>
        <w:separator/>
      </w:r>
    </w:p>
  </w:footnote>
  <w:footnote w:type="continuationSeparator" w:id="0">
    <w:p w14:paraId="6F3DAB33" w14:textId="77777777" w:rsidR="004E6061" w:rsidRDefault="004E6061" w:rsidP="004C31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A639A"/>
    <w:multiLevelType w:val="hybridMultilevel"/>
    <w:tmpl w:val="C67891C0"/>
    <w:lvl w:ilvl="0" w:tplc="D84C7A6A">
      <w:start w:val="1"/>
      <w:numFmt w:val="bullet"/>
      <w:lvlText w:val="•"/>
      <w:lvlJc w:val="left"/>
      <w:pPr>
        <w:ind w:left="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3AE52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AA6DECE">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4480C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5872A2">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D01B2C">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50C0AE8">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E25F4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980D6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5A6A03"/>
    <w:multiLevelType w:val="hybridMultilevel"/>
    <w:tmpl w:val="3698D71A"/>
    <w:lvl w:ilvl="0" w:tplc="0409000B">
      <w:start w:val="1"/>
      <w:numFmt w:val="bullet"/>
      <w:lvlText w:val=""/>
      <w:lvlJc w:val="left"/>
      <w:pPr>
        <w:ind w:left="1545" w:hanging="360"/>
      </w:pPr>
      <w:rPr>
        <w:rFonts w:ascii="Wingdings" w:hAnsi="Wingdings"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2" w15:restartNumberingAfterBreak="0">
    <w:nsid w:val="2C2B27F6"/>
    <w:multiLevelType w:val="hybridMultilevel"/>
    <w:tmpl w:val="7CF2E002"/>
    <w:lvl w:ilvl="0" w:tplc="2D3A88FC">
      <w:start w:val="1"/>
      <w:numFmt w:val="bullet"/>
      <w:lvlText w:val="•"/>
      <w:lvlJc w:val="left"/>
      <w:pPr>
        <w:ind w:left="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14410C">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7A3DE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26B45E">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B0E05B8">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2E4579C">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44271B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4C9F8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2E91D6">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024071B"/>
    <w:multiLevelType w:val="hybridMultilevel"/>
    <w:tmpl w:val="92DC7166"/>
    <w:lvl w:ilvl="0" w:tplc="0409000B">
      <w:start w:val="1"/>
      <w:numFmt w:val="bullet"/>
      <w:lvlText w:val=""/>
      <w:lvlJc w:val="left"/>
      <w:pPr>
        <w:ind w:left="828" w:hanging="360"/>
      </w:pPr>
      <w:rPr>
        <w:rFonts w:ascii="Wingdings" w:hAnsi="Wingdings"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4" w15:restartNumberingAfterBreak="0">
    <w:nsid w:val="31A5462C"/>
    <w:multiLevelType w:val="hybridMultilevel"/>
    <w:tmpl w:val="496645E2"/>
    <w:lvl w:ilvl="0" w:tplc="FFE81364">
      <w:start w:val="1"/>
      <w:numFmt w:val="bullet"/>
      <w:lvlText w:val="•"/>
      <w:lvlJc w:val="left"/>
      <w:pPr>
        <w:ind w:left="8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3E5978">
      <w:start w:val="1"/>
      <w:numFmt w:val="bullet"/>
      <w:lvlText w:val="❖"/>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C8584AA6">
      <w:start w:val="1"/>
      <w:numFmt w:val="bullet"/>
      <w:lvlText w:val="▪"/>
      <w:lvlJc w:val="left"/>
      <w:pPr>
        <w:ind w:left="206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5565C82">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576CE4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7FEC06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FBCB13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E94ED1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81CDE7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3E31297"/>
    <w:multiLevelType w:val="hybridMultilevel"/>
    <w:tmpl w:val="34F4C480"/>
    <w:lvl w:ilvl="0" w:tplc="0409000B">
      <w:start w:val="1"/>
      <w:numFmt w:val="bullet"/>
      <w:lvlText w:val=""/>
      <w:lvlJc w:val="left"/>
      <w:pPr>
        <w:ind w:left="1560" w:hanging="360"/>
      </w:pPr>
      <w:rPr>
        <w:rFonts w:ascii="Wingdings" w:hAnsi="Wingdings"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6" w15:restartNumberingAfterBreak="0">
    <w:nsid w:val="58353EB9"/>
    <w:multiLevelType w:val="hybridMultilevel"/>
    <w:tmpl w:val="FC1C5394"/>
    <w:lvl w:ilvl="0" w:tplc="0409000B">
      <w:start w:val="1"/>
      <w:numFmt w:val="bullet"/>
      <w:lvlText w:val=""/>
      <w:lvlJc w:val="left"/>
      <w:pPr>
        <w:ind w:left="1560" w:hanging="360"/>
      </w:pPr>
      <w:rPr>
        <w:rFonts w:ascii="Wingdings" w:hAnsi="Wingdings"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7" w15:restartNumberingAfterBreak="0">
    <w:nsid w:val="6ECB3508"/>
    <w:multiLevelType w:val="hybridMultilevel"/>
    <w:tmpl w:val="BB16C498"/>
    <w:lvl w:ilvl="0" w:tplc="0409000B">
      <w:start w:val="1"/>
      <w:numFmt w:val="bullet"/>
      <w:lvlText w:val=""/>
      <w:lvlJc w:val="left"/>
      <w:pPr>
        <w:ind w:left="1560" w:hanging="360"/>
      </w:pPr>
      <w:rPr>
        <w:rFonts w:ascii="Wingdings" w:hAnsi="Wingdings"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7"/>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008"/>
    <w:rsid w:val="003177AE"/>
    <w:rsid w:val="003809D7"/>
    <w:rsid w:val="003C13F9"/>
    <w:rsid w:val="004C311F"/>
    <w:rsid w:val="004E6061"/>
    <w:rsid w:val="00966FD8"/>
    <w:rsid w:val="00A25CCE"/>
    <w:rsid w:val="00AD52D5"/>
    <w:rsid w:val="00BF3742"/>
    <w:rsid w:val="00C47914"/>
    <w:rsid w:val="00E860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E8C3D4"/>
  <w15:docId w15:val="{9D94F5A0-7950-4B68-94E3-B69F1E146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1" w:lineRule="auto"/>
      <w:ind w:left="118" w:hanging="10"/>
    </w:pPr>
    <w:rPr>
      <w:rFonts w:ascii="Arial" w:eastAsia="Arial" w:hAnsi="Arial" w:cs="Arial"/>
      <w:color w:val="000000"/>
    </w:rPr>
  </w:style>
  <w:style w:type="paragraph" w:styleId="Heading1">
    <w:name w:val="heading 1"/>
    <w:next w:val="Normal"/>
    <w:link w:val="Heading1Char"/>
    <w:uiPriority w:val="9"/>
    <w:qFormat/>
    <w:pPr>
      <w:keepNext/>
      <w:keepLines/>
      <w:pBdr>
        <w:top w:val="single" w:sz="43" w:space="0" w:color="CC1474"/>
        <w:bottom w:val="single" w:sz="43" w:space="0" w:color="CC1474"/>
      </w:pBdr>
      <w:shd w:val="clear" w:color="auto" w:fill="CC1474"/>
      <w:spacing w:after="211"/>
      <w:ind w:left="118" w:hanging="10"/>
      <w:outlineLvl w:val="0"/>
    </w:pPr>
    <w:rPr>
      <w:rFonts w:ascii="Arial" w:eastAsia="Arial" w:hAnsi="Arial" w:cs="Arial"/>
      <w:b/>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FFFFFF"/>
      <w:sz w:val="22"/>
    </w:rPr>
  </w:style>
  <w:style w:type="paragraph" w:styleId="ListParagraph">
    <w:name w:val="List Paragraph"/>
    <w:basedOn w:val="Normal"/>
    <w:uiPriority w:val="34"/>
    <w:qFormat/>
    <w:rsid w:val="00C47914"/>
    <w:pPr>
      <w:ind w:left="720"/>
      <w:contextualSpacing/>
    </w:pPr>
  </w:style>
  <w:style w:type="character" w:styleId="Hyperlink">
    <w:name w:val="Hyperlink"/>
    <w:basedOn w:val="DefaultParagraphFont"/>
    <w:uiPriority w:val="99"/>
    <w:unhideWhenUsed/>
    <w:rsid w:val="00C47914"/>
    <w:rPr>
      <w:color w:val="0563C1" w:themeColor="hyperlink"/>
      <w:u w:val="single"/>
    </w:rPr>
  </w:style>
  <w:style w:type="character" w:styleId="UnresolvedMention">
    <w:name w:val="Unresolved Mention"/>
    <w:basedOn w:val="DefaultParagraphFont"/>
    <w:uiPriority w:val="99"/>
    <w:semiHidden/>
    <w:unhideWhenUsed/>
    <w:rsid w:val="00C47914"/>
    <w:rPr>
      <w:color w:val="605E5C"/>
      <w:shd w:val="clear" w:color="auto" w:fill="E1DFDD"/>
    </w:rPr>
  </w:style>
  <w:style w:type="paragraph" w:styleId="NormalWeb">
    <w:name w:val="Normal (Web)"/>
    <w:basedOn w:val="Normal"/>
    <w:uiPriority w:val="99"/>
    <w:unhideWhenUsed/>
    <w:rsid w:val="003C13F9"/>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tishcouncil.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Amerasinghe, Manisha (Sri Lanka)</dc:creator>
  <cp:keywords/>
  <cp:lastModifiedBy>Al-Banna, Shaimaa (Egypt)</cp:lastModifiedBy>
  <cp:revision>4</cp:revision>
  <dcterms:created xsi:type="dcterms:W3CDTF">2021-11-24T10:47:00Z</dcterms:created>
  <dcterms:modified xsi:type="dcterms:W3CDTF">2021-11-24T13:52:00Z</dcterms:modified>
</cp:coreProperties>
</file>